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cs="方正小标宋简体"/>
          <w:sz w:val="32"/>
          <w:szCs w:val="32"/>
        </w:rPr>
      </w:pPr>
      <w:r>
        <w:rPr>
          <w:rFonts w:hint="eastAsia" w:ascii="黑体" w:hAnsi="黑体" w:eastAsia="黑体" w:cs="方正小标宋简体"/>
          <w:sz w:val="32"/>
          <w:szCs w:val="32"/>
        </w:rPr>
        <w:t>附件</w:t>
      </w:r>
    </w:p>
    <w:p>
      <w:pPr>
        <w:spacing w:line="580" w:lineRule="exact"/>
        <w:jc w:val="center"/>
        <w:rPr>
          <w:rFonts w:ascii="方正小标宋简体" w:hAnsi="方正小标宋简体" w:eastAsia="方正小标宋简体" w:cs="方正小标宋简体"/>
          <w:sz w:val="44"/>
          <w:szCs w:val="44"/>
        </w:rPr>
      </w:pPr>
      <w:bookmarkStart w:id="4" w:name="_GoBack"/>
      <w:r>
        <w:rPr>
          <w:rFonts w:hint="eastAsia" w:ascii="方正小标宋简体" w:hAnsi="方正小标宋简体" w:eastAsia="方正小标宋简体" w:cs="方正小标宋简体"/>
          <w:sz w:val="44"/>
          <w:szCs w:val="44"/>
        </w:rPr>
        <w:t>佛山高新区智能工厂认定及资助办法</w:t>
      </w:r>
    </w:p>
    <w:bookmarkEnd w:id="4"/>
    <w:p>
      <w:pPr>
        <w:spacing w:line="580" w:lineRule="exact"/>
        <w:jc w:val="center"/>
        <w:rPr>
          <w:rFonts w:ascii="楷体" w:hAnsi="楷体" w:eastAsia="楷体" w:cs="仿宋"/>
          <w:b/>
          <w:bCs/>
          <w:sz w:val="32"/>
          <w:szCs w:val="32"/>
        </w:rPr>
      </w:pPr>
      <w:r>
        <w:rPr>
          <w:rFonts w:hint="eastAsia" w:ascii="楷体" w:hAnsi="楷体" w:eastAsia="楷体" w:cs="仿宋"/>
          <w:b/>
          <w:bCs/>
          <w:sz w:val="32"/>
          <w:szCs w:val="32"/>
        </w:rPr>
        <w:t>（征求公众意见稿）</w:t>
      </w:r>
    </w:p>
    <w:p>
      <w:pPr>
        <w:spacing w:line="580" w:lineRule="exact"/>
      </w:pPr>
      <w:r>
        <w:rPr>
          <w:rFonts w:hint="eastAsia"/>
        </w:rPr>
        <w:t>　</w:t>
      </w:r>
    </w:p>
    <w:p>
      <w:pPr>
        <w:spacing w:line="580" w:lineRule="exact"/>
        <w:jc w:val="center"/>
        <w:rPr>
          <w:rFonts w:ascii="黑体" w:hAnsi="黑体" w:eastAsia="黑体" w:cs="黑体"/>
          <w:sz w:val="32"/>
          <w:szCs w:val="32"/>
        </w:rPr>
      </w:pPr>
      <w:r>
        <w:rPr>
          <w:rFonts w:hint="eastAsia" w:ascii="黑体" w:hAnsi="黑体" w:eastAsia="黑体" w:cs="黑体"/>
          <w:sz w:val="32"/>
          <w:szCs w:val="32"/>
        </w:rPr>
        <w:t>第一章 总则</w:t>
      </w:r>
    </w:p>
    <w:p>
      <w:pPr>
        <w:spacing w:line="580" w:lineRule="exact"/>
        <w:rPr>
          <w:sz w:val="24"/>
        </w:rPr>
      </w:pPr>
    </w:p>
    <w:p>
      <w:pPr>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推动佛山高新区内企业转型升级，建设一批具有柔性、智能、精细化生产能力的示范工厂，打造以工业互联网平台为核心的生态圈,支撑佛山高新区高质量发展，佛山高新区管委会决定开展智能工厂认定及资助工作，特制定本办法。</w:t>
      </w:r>
    </w:p>
    <w:p>
      <w:pPr>
        <w:spacing w:line="580" w:lineRule="exact"/>
        <w:ind w:firstLine="640" w:firstLineChars="200"/>
        <w:rPr>
          <w:rFonts w:ascii="仿宋" w:hAnsi="仿宋" w:eastAsia="仿宋" w:cs="仿宋"/>
          <w:b/>
          <w:bCs/>
          <w:sz w:val="32"/>
          <w:szCs w:val="32"/>
        </w:rPr>
      </w:pPr>
      <w:r>
        <w:rPr>
          <w:rFonts w:hint="eastAsia" w:ascii="黑体" w:hAnsi="黑体" w:eastAsia="黑体" w:cs="黑体"/>
          <w:sz w:val="32"/>
          <w:szCs w:val="32"/>
        </w:rPr>
        <w:t xml:space="preserve">第二条 </w:t>
      </w:r>
      <w:r>
        <w:rPr>
          <w:rFonts w:hint="eastAsia" w:ascii="仿宋" w:hAnsi="仿宋" w:eastAsia="仿宋" w:cs="仿宋"/>
          <w:sz w:val="32"/>
          <w:szCs w:val="32"/>
        </w:rPr>
        <w:t>本办法所指智能工厂是利用信息技术、物联网技术、监控技术等加强信息管理服务，提高生产过程可控性、减少生产线人工干预以及合理计划排程，并通过绿色智能手段和智能系统等新兴技术的运用，构建的高效、节能、绿色、环保的工厂。</w:t>
      </w:r>
    </w:p>
    <w:p>
      <w:pPr>
        <w:spacing w:line="580" w:lineRule="exact"/>
        <w:ind w:firstLine="640" w:firstLineChars="200"/>
        <w:jc w:val="left"/>
        <w:rPr>
          <w:rFonts w:ascii="仿宋" w:hAnsi="仿宋" w:eastAsia="仿宋" w:cs="仿宋"/>
          <w:sz w:val="32"/>
          <w:szCs w:val="32"/>
        </w:rPr>
      </w:pPr>
      <w:r>
        <w:rPr>
          <w:rFonts w:hint="eastAsia" w:ascii="黑体" w:hAnsi="黑体" w:eastAsia="黑体" w:cs="黑体"/>
          <w:sz w:val="32"/>
          <w:szCs w:val="32"/>
        </w:rPr>
        <w:t>第三条</w:t>
      </w:r>
      <w:r>
        <w:rPr>
          <w:rFonts w:ascii="黑体" w:hAnsi="黑体" w:eastAsia="黑体" w:cs="黑体"/>
          <w:sz w:val="32"/>
          <w:szCs w:val="32"/>
        </w:rPr>
        <w:t xml:space="preserve"> </w:t>
      </w:r>
      <w:r>
        <w:rPr>
          <w:rFonts w:hint="eastAsia" w:ascii="仿宋" w:hAnsi="仿宋" w:eastAsia="仿宋" w:cs="仿宋"/>
          <w:sz w:val="32"/>
          <w:szCs w:val="32"/>
        </w:rPr>
        <w:t>佛山高新区管委会每年安排一定财政预算资金，分行业认定智能工厂不超过10个，采取事后奖补的方式进行资助，资助资金从佛山高新区经济发展专项资金中列支。通过智能工厂的认定，提升辖区企业智能制造水平，增强企业竞争力，助力企业转型升级，带动产业集群发展，推动佛山高新区工业互联网发展建设。</w:t>
      </w: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第四条</w:t>
      </w:r>
      <w:r>
        <w:rPr>
          <w:rFonts w:hint="eastAsia" w:ascii="仿宋" w:hAnsi="仿宋" w:eastAsia="仿宋" w:cs="仿宋"/>
          <w:sz w:val="32"/>
          <w:szCs w:val="32"/>
        </w:rPr>
        <w:t xml:space="preserve"> </w:t>
      </w:r>
      <w:bookmarkStart w:id="0" w:name="_Hlk42060245"/>
      <w:r>
        <w:rPr>
          <w:rFonts w:hint="eastAsia" w:ascii="仿宋" w:hAnsi="仿宋" w:eastAsia="仿宋" w:cs="仿宋"/>
          <w:sz w:val="32"/>
          <w:szCs w:val="32"/>
        </w:rPr>
        <w:t>办法实施过程中各单位分工负责。</w:t>
      </w:r>
    </w:p>
    <w:p>
      <w:pPr>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（一）</w:t>
      </w:r>
      <w:r>
        <w:rPr>
          <w:rFonts w:hint="eastAsia" w:ascii="Times New Roman" w:hAnsi="Times New Roman" w:eastAsia="仿宋_GB2312" w:cs="Times New Roman"/>
          <w:sz w:val="32"/>
          <w:szCs w:val="32"/>
        </w:rPr>
        <w:t>佛山高新区</w:t>
      </w:r>
      <w:r>
        <w:rPr>
          <w:rFonts w:ascii="Times New Roman" w:hAnsi="Times New Roman" w:eastAsia="仿宋_GB2312" w:cs="Times New Roman"/>
          <w:sz w:val="32"/>
          <w:szCs w:val="32"/>
        </w:rPr>
        <w:t>管委会</w:t>
      </w:r>
      <w:r>
        <w:rPr>
          <w:rFonts w:hint="eastAsia" w:ascii="Times New Roman" w:hAnsi="Times New Roman" w:eastAsia="仿宋_GB2312" w:cs="Times New Roman"/>
          <w:sz w:val="32"/>
          <w:szCs w:val="32"/>
        </w:rPr>
        <w:t>科技创新局（知识产权局）（以下</w:t>
      </w:r>
      <w:r>
        <w:rPr>
          <w:rFonts w:ascii="Times New Roman" w:hAnsi="Times New Roman" w:eastAsia="仿宋_GB2312" w:cs="Times New Roman"/>
          <w:sz w:val="32"/>
          <w:szCs w:val="32"/>
        </w:rPr>
        <w:t>简称科创局</w:t>
      </w:r>
      <w:r>
        <w:rPr>
          <w:rFonts w:hint="eastAsia" w:ascii="Times New Roman" w:hAnsi="Times New Roman" w:eastAsia="仿宋_GB2312" w:cs="Times New Roman"/>
          <w:sz w:val="32"/>
          <w:szCs w:val="32"/>
        </w:rPr>
        <w:t>）的主要职责是：编制项目的认定及资助办法；编制申报指南和通知，组织开展项目申报、评审、立项等工作；接受佛山高新区管委会规划和财政局、佛山高新区纪工委等的监督。</w:t>
      </w:r>
    </w:p>
    <w:p>
      <w:pPr>
        <w:spacing w:line="58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（二）</w:t>
      </w:r>
      <w:r>
        <w:rPr>
          <w:rFonts w:hint="eastAsia" w:ascii="Times New Roman" w:hAnsi="Times New Roman" w:eastAsia="仿宋_GB2312" w:cs="Times New Roman"/>
          <w:sz w:val="32"/>
          <w:szCs w:val="32"/>
        </w:rPr>
        <w:t>佛山高新区管委会规划</w:t>
      </w:r>
      <w:r>
        <w:rPr>
          <w:rFonts w:ascii="Times New Roman" w:hAnsi="Times New Roman" w:eastAsia="仿宋_GB2312" w:cs="Times New Roman"/>
          <w:sz w:val="32"/>
          <w:szCs w:val="32"/>
        </w:rPr>
        <w:t>和财政局（</w:t>
      </w:r>
      <w:r>
        <w:rPr>
          <w:rFonts w:hint="eastAsia" w:ascii="Times New Roman" w:hAnsi="Times New Roman" w:eastAsia="仿宋_GB2312" w:cs="Times New Roman"/>
          <w:sz w:val="32"/>
          <w:szCs w:val="32"/>
        </w:rPr>
        <w:t>以下</w:t>
      </w:r>
      <w:r>
        <w:rPr>
          <w:rFonts w:ascii="Times New Roman" w:hAnsi="Times New Roman" w:eastAsia="仿宋_GB2312" w:cs="Times New Roman"/>
          <w:sz w:val="32"/>
          <w:szCs w:val="32"/>
        </w:rPr>
        <w:t>简称规财局）</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主要职责是</w:t>
      </w:r>
      <w:r>
        <w:rPr>
          <w:rFonts w:hint="eastAsia" w:ascii="Times New Roman" w:hAnsi="Times New Roman" w:eastAsia="仿宋_GB2312" w:cs="Times New Roman"/>
          <w:sz w:val="32"/>
          <w:szCs w:val="32"/>
        </w:rPr>
        <w:t>：按实施办法办理资金拨付；监督专项资金使用。</w:t>
      </w:r>
    </w:p>
    <w:p>
      <w:pPr>
        <w:spacing w:line="580" w:lineRule="exact"/>
        <w:ind w:firstLine="643" w:firstLineChars="200"/>
        <w:rPr>
          <w:rFonts w:ascii="仿宋" w:hAnsi="仿宋" w:eastAsia="仿宋" w:cs="仿宋"/>
          <w:sz w:val="32"/>
          <w:szCs w:val="32"/>
        </w:rPr>
      </w:pPr>
      <w:r>
        <w:rPr>
          <w:rFonts w:hint="eastAsia" w:ascii="Times New Roman" w:hAnsi="Times New Roman" w:eastAsia="仿宋_GB2312" w:cs="Times New Roman"/>
          <w:b/>
          <w:bCs/>
          <w:sz w:val="32"/>
          <w:szCs w:val="32"/>
        </w:rPr>
        <w:t>（三）</w:t>
      </w:r>
      <w:r>
        <w:rPr>
          <w:rFonts w:hint="eastAsia" w:ascii="Times New Roman" w:hAnsi="Times New Roman" w:eastAsia="仿宋_GB2312" w:cs="Times New Roman"/>
          <w:sz w:val="32"/>
          <w:szCs w:val="32"/>
        </w:rPr>
        <w:t>佛山高</w:t>
      </w:r>
      <w:r>
        <w:rPr>
          <w:rFonts w:hint="eastAsia" w:ascii="仿宋_GB2312" w:hAnsi="仿宋" w:eastAsia="仿宋_GB2312" w:cs="仿宋"/>
          <w:sz w:val="32"/>
          <w:szCs w:val="32"/>
        </w:rPr>
        <w:t>新区各园区管理局（以下</w:t>
      </w:r>
      <w:r>
        <w:rPr>
          <w:rFonts w:ascii="仿宋_GB2312" w:hAnsi="仿宋" w:eastAsia="仿宋_GB2312" w:cs="仿宋"/>
          <w:sz w:val="32"/>
          <w:szCs w:val="32"/>
        </w:rPr>
        <w:t>简称各园区管理局</w:t>
      </w:r>
      <w:r>
        <w:rPr>
          <w:rFonts w:hint="eastAsia" w:ascii="仿宋_GB2312" w:hAnsi="仿宋" w:eastAsia="仿宋_GB2312" w:cs="仿宋"/>
          <w:sz w:val="32"/>
          <w:szCs w:val="32"/>
        </w:rPr>
        <w:t>）的主要职责是：协助开展项目申报、评审、</w:t>
      </w:r>
      <w:r>
        <w:rPr>
          <w:rFonts w:hint="eastAsia" w:ascii="Times New Roman" w:hAnsi="Times New Roman" w:eastAsia="仿宋_GB2312" w:cs="Times New Roman"/>
          <w:sz w:val="32"/>
          <w:szCs w:val="32"/>
        </w:rPr>
        <w:t>立项、</w:t>
      </w:r>
      <w:r>
        <w:rPr>
          <w:rFonts w:hint="eastAsia" w:ascii="仿宋_GB2312" w:hAnsi="仿宋" w:eastAsia="仿宋_GB2312" w:cs="仿宋"/>
          <w:sz w:val="32"/>
          <w:szCs w:val="32"/>
        </w:rPr>
        <w:t>资金拨付等工作；按需给予项目资金配套支持；对</w:t>
      </w:r>
      <w:r>
        <w:rPr>
          <w:rFonts w:hint="eastAsia" w:ascii="Times New Roman" w:hAnsi="Times New Roman" w:eastAsia="仿宋_GB2312" w:cs="Times New Roman"/>
          <w:sz w:val="32"/>
          <w:szCs w:val="32"/>
          <w:lang w:bidi="ar"/>
        </w:rPr>
        <w:t>辖区内项目承担单位资金的使用进行指导与监督；</w:t>
      </w:r>
      <w:r>
        <w:rPr>
          <w:rFonts w:hint="eastAsia" w:ascii="仿宋_GB2312" w:hAnsi="仿宋" w:eastAsia="仿宋_GB2312" w:cs="仿宋"/>
          <w:sz w:val="32"/>
          <w:szCs w:val="32"/>
        </w:rPr>
        <w:t>接受管委会业务指导和监督。</w:t>
      </w:r>
    </w:p>
    <w:p>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（四）</w:t>
      </w:r>
      <w:r>
        <w:rPr>
          <w:rFonts w:hint="eastAsia" w:ascii="Times New Roman" w:hAnsi="Times New Roman" w:eastAsia="仿宋_GB2312" w:cs="Times New Roman"/>
          <w:sz w:val="32"/>
          <w:szCs w:val="32"/>
        </w:rPr>
        <w:t>项目承担（申报）单位的主要职责是：按规定参与项目申报；按规定与佛山高新区管委会签订项目合同；建立健全单位内部经费管理制度，</w:t>
      </w:r>
      <w:r>
        <w:rPr>
          <w:rFonts w:ascii="Times New Roman" w:hAnsi="Times New Roman" w:eastAsia="仿宋_GB2312" w:cs="Times New Roman"/>
          <w:sz w:val="32"/>
          <w:szCs w:val="32"/>
        </w:rPr>
        <w:t>加强财务管理</w:t>
      </w:r>
      <w:r>
        <w:rPr>
          <w:rFonts w:hint="eastAsia" w:ascii="Times New Roman" w:hAnsi="Times New Roman" w:eastAsia="仿宋_GB2312" w:cs="Times New Roman"/>
          <w:sz w:val="32"/>
          <w:szCs w:val="32"/>
        </w:rPr>
        <w:t>；负责具体项目实施和资金使用，以适当方式公开资金使用情况；及时报告项目实施过程中出现的重大事项，按规定提交变更申请或备案；按规定申请开展项目验收等；接受监督检查和绩效评价。</w:t>
      </w:r>
    </w:p>
    <w:p>
      <w:pPr>
        <w:spacing w:line="580" w:lineRule="exact"/>
        <w:ind w:firstLine="643" w:firstLineChars="200"/>
        <w:rPr>
          <w:rFonts w:ascii="仿宋" w:hAnsi="仿宋" w:eastAsia="仿宋" w:cs="仿宋"/>
          <w:sz w:val="32"/>
          <w:szCs w:val="32"/>
        </w:rPr>
      </w:pPr>
      <w:r>
        <w:rPr>
          <w:rFonts w:hint="eastAsia" w:ascii="仿宋_GB2312" w:hAnsi="仿宋" w:eastAsia="仿宋_GB2312" w:cs="仿宋"/>
          <w:b/>
          <w:bCs/>
          <w:sz w:val="32"/>
          <w:szCs w:val="32"/>
        </w:rPr>
        <w:t>（五）</w:t>
      </w:r>
      <w:r>
        <w:rPr>
          <w:rFonts w:hint="eastAsia" w:ascii="仿宋_GB2312" w:hAnsi="仿宋" w:eastAsia="仿宋_GB2312" w:cs="仿宋"/>
          <w:sz w:val="32"/>
          <w:szCs w:val="32"/>
        </w:rPr>
        <w:t>第三方机构的主要职责是：受管委会委托，按委托事项要求开展具体事务性工作；接受管委会的业务指导和监督。</w:t>
      </w:r>
    </w:p>
    <w:p>
      <w:pPr>
        <w:spacing w:line="58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（六）</w:t>
      </w:r>
      <w:r>
        <w:rPr>
          <w:rFonts w:hint="eastAsia" w:ascii="仿宋_GB2312" w:hAnsi="仿宋" w:eastAsia="仿宋_GB2312" w:cs="仿宋"/>
          <w:sz w:val="32"/>
          <w:szCs w:val="32"/>
        </w:rPr>
        <w:t>专家的主要职责是：独立、客观、公正地提供个人专业评审、评估或咨询意见；依法尊重项目承担（申报）单位的知识产权，严格保守项目的技术和商业秘密；接受相关部门的监督。</w:t>
      </w:r>
    </w:p>
    <w:p>
      <w:pPr>
        <w:spacing w:line="580" w:lineRule="exact"/>
        <w:ind w:firstLine="643" w:firstLineChars="200"/>
        <w:rPr>
          <w:rFonts w:ascii="仿宋_GB2312" w:hAnsi="仿宋" w:eastAsia="仿宋_GB2312" w:cs="仿宋"/>
          <w:sz w:val="32"/>
          <w:szCs w:val="32"/>
        </w:rPr>
      </w:pPr>
      <w:r>
        <w:rPr>
          <w:rFonts w:hint="eastAsia" w:ascii="仿宋_GB2312" w:hAnsi="仿宋" w:eastAsia="仿宋_GB2312" w:cs="仿宋"/>
          <w:b/>
          <w:bCs/>
          <w:sz w:val="32"/>
          <w:szCs w:val="32"/>
        </w:rPr>
        <w:t>（七）</w:t>
      </w:r>
      <w:r>
        <w:rPr>
          <w:rFonts w:hint="eastAsia" w:ascii="仿宋_GB2312" w:hAnsi="仿宋" w:eastAsia="仿宋_GB2312" w:cs="仿宋"/>
          <w:sz w:val="32"/>
          <w:szCs w:val="32"/>
        </w:rPr>
        <w:t>佛山高新区纪工委职责：依法按照“谁主管、谁审批、谁使用、谁负责”原则，对资金管理、分配、使用与绩效情况进行纪检监察监督。</w:t>
      </w:r>
    </w:p>
    <w:bookmarkEnd w:id="0"/>
    <w:p>
      <w:pPr>
        <w:spacing w:line="580" w:lineRule="exact"/>
        <w:jc w:val="center"/>
        <w:rPr>
          <w:rFonts w:ascii="黑体" w:hAnsi="黑体" w:eastAsia="黑体" w:cs="黑体"/>
          <w:sz w:val="32"/>
          <w:szCs w:val="32"/>
        </w:rPr>
      </w:pPr>
      <w:r>
        <w:rPr>
          <w:rFonts w:hint="eastAsia" w:ascii="黑体" w:hAnsi="黑体" w:eastAsia="黑体" w:cs="黑体"/>
          <w:sz w:val="32"/>
          <w:szCs w:val="32"/>
        </w:rPr>
        <w:t>第二章 认定条件</w:t>
      </w:r>
    </w:p>
    <w:p>
      <w:pPr>
        <w:spacing w:line="580" w:lineRule="exact"/>
        <w:ind w:firstLine="640" w:firstLineChars="200"/>
        <w:rPr>
          <w:rFonts w:ascii="仿宋" w:hAnsi="仿宋" w:eastAsia="仿宋" w:cs="仿宋"/>
          <w:sz w:val="32"/>
          <w:szCs w:val="32"/>
        </w:rPr>
      </w:pPr>
    </w:p>
    <w:p>
      <w:pPr>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第五条 </w:t>
      </w:r>
      <w:r>
        <w:rPr>
          <w:rFonts w:hint="eastAsia" w:ascii="仿宋" w:hAnsi="仿宋" w:eastAsia="仿宋" w:cs="仿宋"/>
          <w:sz w:val="32"/>
          <w:szCs w:val="32"/>
        </w:rPr>
        <w:t>申请认定的依托单位应同时具备下列基本条件：</w:t>
      </w:r>
    </w:p>
    <w:p>
      <w:pPr>
        <w:spacing w:line="580" w:lineRule="exact"/>
        <w:ind w:firstLine="643" w:firstLineChars="200"/>
        <w:rPr>
          <w:rFonts w:ascii="仿宋" w:hAnsi="仿宋" w:eastAsia="仿宋" w:cs="仿宋"/>
          <w:sz w:val="32"/>
          <w:szCs w:val="32"/>
        </w:rPr>
      </w:pPr>
      <w:bookmarkStart w:id="1" w:name="_Hlk38013611"/>
      <w:r>
        <w:rPr>
          <w:rFonts w:hint="eastAsia" w:ascii="楷体" w:hAnsi="楷体" w:eastAsia="楷体" w:cs="楷体"/>
          <w:b/>
          <w:bCs/>
          <w:sz w:val="32"/>
          <w:szCs w:val="32"/>
        </w:rPr>
        <w:t>（一）</w:t>
      </w:r>
      <w:r>
        <w:rPr>
          <w:rFonts w:hint="eastAsia" w:ascii="仿宋" w:hAnsi="仿宋" w:eastAsia="仿宋" w:cs="仿宋"/>
          <w:sz w:val="32"/>
          <w:szCs w:val="32"/>
        </w:rPr>
        <w:t>在佛山高新区内注册三年以上的具有独立法人资格的企业。</w:t>
      </w:r>
    </w:p>
    <w:p>
      <w:pPr>
        <w:pStyle w:val="140"/>
        <w:spacing w:line="580" w:lineRule="exact"/>
        <w:ind w:firstLine="643"/>
      </w:pPr>
      <w:r>
        <w:rPr>
          <w:rFonts w:hint="eastAsia" w:ascii="楷体" w:hAnsi="楷体" w:eastAsia="楷体" w:cs="楷体"/>
          <w:b/>
          <w:bCs/>
          <w:sz w:val="32"/>
          <w:szCs w:val="32"/>
        </w:rPr>
        <w:t>（二）</w:t>
      </w:r>
      <w:r>
        <w:rPr>
          <w:rFonts w:hint="eastAsia" w:ascii="仿宋" w:hAnsi="仿宋" w:eastAsia="仿宋" w:cs="仿宋"/>
          <w:sz w:val="32"/>
          <w:szCs w:val="32"/>
        </w:rPr>
        <w:t>所属行业是佛山高新区产业发展规划的有关产业。</w:t>
      </w:r>
    </w:p>
    <w:p>
      <w:pPr>
        <w:spacing w:line="580" w:lineRule="exact"/>
        <w:ind w:firstLine="643" w:firstLineChars="200"/>
        <w:jc w:val="left"/>
        <w:rPr>
          <w:rFonts w:ascii="仿宋" w:hAnsi="仿宋" w:eastAsia="仿宋" w:cs="仿宋"/>
          <w:sz w:val="32"/>
          <w:szCs w:val="32"/>
        </w:rPr>
      </w:pPr>
      <w:r>
        <w:rPr>
          <w:rFonts w:hint="eastAsia" w:ascii="楷体" w:hAnsi="楷体" w:eastAsia="楷体" w:cs="楷体"/>
          <w:b/>
          <w:bCs/>
          <w:sz w:val="32"/>
          <w:szCs w:val="32"/>
        </w:rPr>
        <w:t>（三）</w:t>
      </w:r>
      <w:r>
        <w:rPr>
          <w:rFonts w:hint="eastAsia" w:ascii="仿宋" w:hAnsi="仿宋" w:eastAsia="仿宋" w:cs="仿宋"/>
          <w:sz w:val="32"/>
          <w:szCs w:val="32"/>
        </w:rPr>
        <w:t>拥有一批高水平和实践经验丰富的智能制造研发团队。专职研发和管理人员不少于30人，其中具有本科以上学历的研发人员不低于50%，具有硕士以上学历或者中级职称的人员不低于30%。</w:t>
      </w:r>
      <w:r>
        <w:rPr>
          <w:rFonts w:hint="eastAsia" w:ascii="仿宋" w:hAnsi="仿宋" w:eastAsia="仿宋" w:cs="仿宋"/>
          <w:spacing w:val="-6"/>
          <w:sz w:val="32"/>
          <w:szCs w:val="32"/>
        </w:rPr>
        <w:t>优先支持本科及本科以上学历人员占从业人员比例2</w:t>
      </w:r>
      <w:r>
        <w:rPr>
          <w:rFonts w:ascii="仿宋" w:hAnsi="仿宋" w:eastAsia="仿宋" w:cs="仿宋"/>
          <w:spacing w:val="-6"/>
          <w:sz w:val="32"/>
          <w:szCs w:val="32"/>
        </w:rPr>
        <w:t>5%</w:t>
      </w:r>
      <w:r>
        <w:rPr>
          <w:rFonts w:hint="eastAsia" w:ascii="仿宋" w:hAnsi="仿宋" w:eastAsia="仿宋" w:cs="仿宋"/>
          <w:spacing w:val="-6"/>
          <w:sz w:val="32"/>
          <w:szCs w:val="32"/>
        </w:rPr>
        <w:t>以上的企业。</w:t>
      </w:r>
    </w:p>
    <w:p>
      <w:pPr>
        <w:spacing w:line="580" w:lineRule="exact"/>
        <w:ind w:firstLine="643" w:firstLineChars="200"/>
        <w:rPr>
          <w:rFonts w:ascii="仿宋" w:hAnsi="仿宋" w:eastAsia="仿宋" w:cs="仿宋"/>
          <w:sz w:val="32"/>
          <w:szCs w:val="32"/>
        </w:rPr>
      </w:pPr>
      <w:r>
        <w:rPr>
          <w:rFonts w:hint="eastAsia" w:ascii="楷体" w:hAnsi="楷体" w:eastAsia="楷体" w:cs="楷体"/>
          <w:b/>
          <w:bCs/>
          <w:sz w:val="32"/>
          <w:szCs w:val="32"/>
        </w:rPr>
        <w:t>（四）</w:t>
      </w:r>
      <w:r>
        <w:rPr>
          <w:rFonts w:hint="eastAsia" w:ascii="仿宋" w:hAnsi="仿宋" w:eastAsia="仿宋" w:cs="仿宋"/>
          <w:sz w:val="32"/>
          <w:szCs w:val="32"/>
        </w:rPr>
        <w:t>企业经营和运行状况良好，有较强的经济实力，有较高的研发投入，原则上上一年度营业收入不低于3亿元，研发投入占营业收入的比例不低于3%，或不少于1000万。优先支持营业收入5亿元以上，企业内部研发费投入超5</w:t>
      </w:r>
      <w:r>
        <w:rPr>
          <w:rFonts w:ascii="仿宋" w:hAnsi="仿宋" w:eastAsia="仿宋" w:cs="仿宋"/>
          <w:sz w:val="32"/>
          <w:szCs w:val="32"/>
        </w:rPr>
        <w:t>000</w:t>
      </w:r>
      <w:r>
        <w:rPr>
          <w:rFonts w:hint="eastAsia" w:ascii="仿宋" w:hAnsi="仿宋" w:eastAsia="仿宋" w:cs="仿宋"/>
          <w:sz w:val="32"/>
          <w:szCs w:val="32"/>
        </w:rPr>
        <w:t>万的企业。优先支持有产学研合作投入经费的企业。</w:t>
      </w:r>
    </w:p>
    <w:p>
      <w:pPr>
        <w:spacing w:line="580" w:lineRule="exact"/>
        <w:ind w:firstLine="643" w:firstLineChars="200"/>
        <w:jc w:val="left"/>
        <w:rPr>
          <w:rFonts w:ascii="仿宋" w:hAnsi="仿宋" w:eastAsia="仿宋" w:cs="仿宋"/>
          <w:sz w:val="32"/>
          <w:szCs w:val="32"/>
        </w:rPr>
      </w:pPr>
      <w:r>
        <w:rPr>
          <w:rFonts w:hint="eastAsia" w:ascii="楷体" w:hAnsi="楷体" w:eastAsia="楷体" w:cs="楷体"/>
          <w:b/>
          <w:bCs/>
          <w:sz w:val="32"/>
          <w:szCs w:val="32"/>
        </w:rPr>
        <w:t>（五）</w:t>
      </w:r>
      <w:r>
        <w:rPr>
          <w:rFonts w:hint="eastAsia" w:ascii="仿宋" w:hAnsi="仿宋" w:eastAsia="仿宋" w:cs="仿宋"/>
          <w:sz w:val="32"/>
          <w:szCs w:val="32"/>
        </w:rPr>
        <w:t>3年内</w:t>
      </w:r>
      <w:r>
        <w:rPr>
          <w:rFonts w:hint="eastAsia" w:ascii="仿宋" w:hAnsi="仿宋" w:eastAsia="仿宋" w:cs="仿宋"/>
          <w:sz w:val="32"/>
          <w:szCs w:val="32"/>
        </w:rPr>
        <w:tab/>
      </w:r>
      <w:r>
        <w:rPr>
          <w:rFonts w:hint="eastAsia" w:ascii="仿宋" w:hAnsi="仿宋" w:eastAsia="仿宋" w:cs="仿宋"/>
          <w:sz w:val="32"/>
          <w:szCs w:val="32"/>
        </w:rPr>
        <w:t>固定资产投资额2000万元以上，其中智能装备与软件系统投资金额不低于500万元。</w:t>
      </w:r>
    </w:p>
    <w:p>
      <w:pPr>
        <w:spacing w:line="580" w:lineRule="exact"/>
        <w:ind w:firstLine="643" w:firstLineChars="200"/>
        <w:jc w:val="left"/>
        <w:rPr>
          <w:rFonts w:ascii="仿宋" w:hAnsi="仿宋" w:eastAsia="仿宋" w:cs="仿宋"/>
          <w:sz w:val="32"/>
          <w:szCs w:val="32"/>
        </w:rPr>
      </w:pPr>
      <w:r>
        <w:rPr>
          <w:rFonts w:hint="eastAsia" w:ascii="楷体" w:hAnsi="楷体" w:eastAsia="楷体" w:cs="楷体"/>
          <w:b/>
          <w:bCs/>
          <w:sz w:val="32"/>
          <w:szCs w:val="32"/>
        </w:rPr>
        <w:t>（六）</w:t>
      </w:r>
      <w:r>
        <w:rPr>
          <w:rFonts w:hint="eastAsia" w:ascii="仿宋" w:hAnsi="仿宋" w:eastAsia="仿宋" w:cs="仿宋"/>
          <w:sz w:val="32"/>
          <w:szCs w:val="32"/>
        </w:rPr>
        <w:t>企业必须使用制造生产过程执行系统，同时至少使用人力资源管理系统、企业资源计划系统、产品数据管理系统、仓库信息管理系统、生命周期管理系统、客户关系管理系统等两个（含两个）以上工业智能制造系统。</w:t>
      </w:r>
    </w:p>
    <w:p>
      <w:pPr>
        <w:spacing w:line="580" w:lineRule="exact"/>
        <w:ind w:firstLine="643" w:firstLineChars="200"/>
        <w:jc w:val="left"/>
        <w:rPr>
          <w:rFonts w:ascii="仿宋" w:hAnsi="仿宋" w:eastAsia="仿宋" w:cs="仿宋"/>
          <w:sz w:val="32"/>
          <w:szCs w:val="32"/>
        </w:rPr>
      </w:pPr>
      <w:r>
        <w:rPr>
          <w:rFonts w:hint="eastAsia" w:ascii="楷体" w:hAnsi="楷体" w:eastAsia="楷体" w:cs="楷体"/>
          <w:b/>
          <w:bCs/>
          <w:sz w:val="32"/>
          <w:szCs w:val="32"/>
        </w:rPr>
        <w:t>（七）</w:t>
      </w:r>
      <w:r>
        <w:rPr>
          <w:rFonts w:hint="eastAsia" w:ascii="仿宋" w:hAnsi="仿宋" w:eastAsia="仿宋" w:cs="仿宋"/>
          <w:sz w:val="32"/>
          <w:szCs w:val="32"/>
        </w:rPr>
        <w:t>数控装备占生产装备总台数的50％以上。</w:t>
      </w:r>
    </w:p>
    <w:p>
      <w:pPr>
        <w:spacing w:line="580" w:lineRule="exact"/>
        <w:ind w:firstLine="643" w:firstLineChars="200"/>
        <w:jc w:val="left"/>
        <w:rPr>
          <w:rFonts w:ascii="仿宋" w:hAnsi="仿宋" w:eastAsia="仿宋" w:cs="仿宋"/>
          <w:sz w:val="32"/>
          <w:szCs w:val="32"/>
        </w:rPr>
      </w:pPr>
      <w:r>
        <w:rPr>
          <w:rFonts w:hint="eastAsia" w:ascii="楷体" w:hAnsi="楷体" w:eastAsia="楷体" w:cs="楷体"/>
          <w:b/>
          <w:bCs/>
          <w:sz w:val="32"/>
          <w:szCs w:val="32"/>
        </w:rPr>
        <w:t>（八）</w:t>
      </w:r>
      <w:r>
        <w:rPr>
          <w:rFonts w:hint="eastAsia" w:ascii="仿宋" w:hAnsi="仿宋" w:eastAsia="仿宋" w:cs="仿宋"/>
          <w:sz w:val="32"/>
          <w:szCs w:val="32"/>
        </w:rPr>
        <w:t xml:space="preserve">企业人均产出率高于行业平均水平，且近三年在生产效率、能源利用效率方面有明显提升；在产品生产周期、产品不良品率、万元产值综合能耗方面显著降低。 </w:t>
      </w:r>
    </w:p>
    <w:p>
      <w:pPr>
        <w:spacing w:line="580" w:lineRule="exact"/>
        <w:ind w:firstLine="643" w:firstLineChars="200"/>
        <w:jc w:val="left"/>
        <w:rPr>
          <w:rFonts w:ascii="仿宋" w:hAnsi="仿宋" w:eastAsia="仿宋" w:cs="仿宋"/>
          <w:sz w:val="32"/>
          <w:szCs w:val="32"/>
        </w:rPr>
      </w:pPr>
      <w:r>
        <w:rPr>
          <w:rFonts w:hint="eastAsia" w:ascii="楷体" w:hAnsi="楷体" w:eastAsia="楷体" w:cs="楷体"/>
          <w:b/>
          <w:bCs/>
          <w:sz w:val="32"/>
          <w:szCs w:val="32"/>
        </w:rPr>
        <w:t>（九）</w:t>
      </w:r>
      <w:r>
        <w:rPr>
          <w:rFonts w:hint="eastAsia" w:ascii="仿宋" w:hAnsi="仿宋" w:eastAsia="仿宋" w:cs="仿宋"/>
          <w:sz w:val="32"/>
          <w:szCs w:val="32"/>
        </w:rPr>
        <w:t>拥有10件以上知识产权，包括：发明专利、实用新型专利、软件著作权等，其中发明专利不得少于2项。优先支持有有效PCT国际专利申请、有效国外发明专利授权、有效境外注册商标的企业。</w:t>
      </w:r>
    </w:p>
    <w:p>
      <w:pPr>
        <w:spacing w:line="580" w:lineRule="exact"/>
        <w:ind w:firstLine="643" w:firstLineChars="200"/>
        <w:rPr>
          <w:rFonts w:ascii="仿宋" w:hAnsi="仿宋" w:eastAsia="仿宋" w:cs="仿宋"/>
          <w:sz w:val="32"/>
          <w:szCs w:val="32"/>
        </w:rPr>
      </w:pPr>
      <w:r>
        <w:rPr>
          <w:rFonts w:hint="eastAsia" w:ascii="楷体" w:hAnsi="楷体" w:eastAsia="楷体" w:cs="楷体"/>
          <w:b/>
          <w:bCs/>
          <w:sz w:val="32"/>
          <w:szCs w:val="32"/>
        </w:rPr>
        <w:t>（十）</w:t>
      </w:r>
      <w:r>
        <w:rPr>
          <w:rFonts w:hint="eastAsia" w:ascii="仿宋" w:hAnsi="仿宋" w:eastAsia="仿宋" w:cs="仿宋"/>
          <w:sz w:val="32"/>
          <w:szCs w:val="32"/>
        </w:rPr>
        <w:t>近三年内未发生重大安全事故、重大环境污染事故、无偷税漏税等违法违规问题。</w:t>
      </w:r>
    </w:p>
    <w:p>
      <w:pPr>
        <w:spacing w:line="580" w:lineRule="exact"/>
        <w:ind w:firstLine="643" w:firstLineChars="200"/>
        <w:rPr>
          <w:rFonts w:ascii="仿宋" w:hAnsi="仿宋" w:eastAsia="仿宋" w:cs="仿宋"/>
          <w:sz w:val="32"/>
          <w:szCs w:val="32"/>
        </w:rPr>
      </w:pPr>
      <w:r>
        <w:rPr>
          <w:rFonts w:hint="eastAsia" w:ascii="楷体" w:hAnsi="楷体" w:eastAsia="楷体" w:cs="楷体"/>
          <w:b/>
          <w:bCs/>
          <w:sz w:val="32"/>
          <w:szCs w:val="32"/>
        </w:rPr>
        <w:t>（十一）</w:t>
      </w:r>
      <w:r>
        <w:rPr>
          <w:rFonts w:hint="eastAsia" w:ascii="仿宋" w:hAnsi="仿宋" w:eastAsia="仿宋" w:cs="仿宋"/>
          <w:sz w:val="32"/>
          <w:szCs w:val="32"/>
        </w:rPr>
        <w:t>企业有规划或强烈意愿参与工业互联网建设。同等条件下，优先支持已建有工业局域网的企业。</w:t>
      </w:r>
    </w:p>
    <w:bookmarkEnd w:id="1"/>
    <w:p>
      <w:pPr>
        <w:spacing w:line="580" w:lineRule="exact"/>
        <w:ind w:firstLine="640" w:firstLineChars="200"/>
        <w:rPr>
          <w:rFonts w:ascii="仿宋" w:hAnsi="仿宋" w:eastAsia="仿宋" w:cs="仿宋"/>
          <w:sz w:val="32"/>
          <w:szCs w:val="32"/>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第三章 认定程序及资助政策</w:t>
      </w:r>
    </w:p>
    <w:p>
      <w:pPr>
        <w:spacing w:line="580" w:lineRule="exact"/>
        <w:rPr>
          <w:rFonts w:ascii="仿宋" w:hAnsi="仿宋" w:eastAsia="仿宋" w:cs="仿宋"/>
          <w:b/>
          <w:bCs/>
          <w:sz w:val="32"/>
          <w:szCs w:val="32"/>
        </w:rPr>
      </w:pPr>
    </w:p>
    <w:p>
      <w:pPr>
        <w:autoSpaceDE w:val="0"/>
        <w:spacing w:line="580" w:lineRule="exact"/>
        <w:ind w:firstLine="640" w:firstLineChars="200"/>
        <w:rPr>
          <w:rFonts w:ascii="仿宋" w:hAnsi="仿宋" w:eastAsia="仿宋" w:cs="仿宋"/>
          <w:sz w:val="32"/>
          <w:szCs w:val="32"/>
        </w:rPr>
      </w:pPr>
      <w:r>
        <w:rPr>
          <w:rFonts w:hint="eastAsia" w:ascii="黑体" w:hAnsi="黑体" w:eastAsia="黑体" w:cs="仿宋"/>
          <w:sz w:val="32"/>
          <w:szCs w:val="32"/>
          <w:lang w:bidi="ar"/>
        </w:rPr>
        <w:t>第六条</w:t>
      </w:r>
      <w:r>
        <w:rPr>
          <w:rFonts w:hint="eastAsia" w:ascii="仿宋" w:hAnsi="仿宋" w:eastAsia="仿宋" w:cs="仿宋"/>
          <w:sz w:val="32"/>
          <w:szCs w:val="32"/>
          <w:lang w:bidi="ar"/>
        </w:rPr>
        <w:t xml:space="preserve"> 智能工厂认定按照“申报、评审、审议、公示和公布”流程开展。</w:t>
      </w:r>
    </w:p>
    <w:p>
      <w:pPr>
        <w:autoSpaceDE w:val="0"/>
        <w:spacing w:line="580" w:lineRule="exact"/>
        <w:ind w:firstLine="643" w:firstLineChars="200"/>
        <w:rPr>
          <w:rFonts w:ascii="楷体" w:hAnsi="楷体" w:eastAsia="楷体" w:cs="仿宋"/>
          <w:b/>
          <w:bCs/>
          <w:sz w:val="32"/>
          <w:szCs w:val="32"/>
        </w:rPr>
      </w:pPr>
      <w:r>
        <w:rPr>
          <w:rFonts w:hint="eastAsia" w:ascii="楷体" w:hAnsi="楷体" w:eastAsia="楷体" w:cs="仿宋"/>
          <w:b/>
          <w:bCs/>
          <w:sz w:val="32"/>
          <w:szCs w:val="32"/>
          <w:lang w:bidi="ar"/>
        </w:rPr>
        <w:t>（一）申报</w:t>
      </w:r>
    </w:p>
    <w:p>
      <w:pPr>
        <w:autoSpaceDE w:val="0"/>
        <w:spacing w:line="58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1.申报单位登陆佛山扶持通，按照当年度发布的申报通知要求，在线提出申请，</w:t>
      </w:r>
      <w:r>
        <w:rPr>
          <w:rStyle w:val="14"/>
          <w:rFonts w:hint="eastAsia" w:ascii="仿宋" w:hAnsi="仿宋" w:eastAsia="仿宋" w:cs="仿宋"/>
          <w:i w:val="0"/>
          <w:sz w:val="32"/>
          <w:szCs w:val="32"/>
          <w:shd w:val="clear" w:color="auto" w:fill="FFFFFF"/>
          <w:lang w:bidi="ar"/>
        </w:rPr>
        <w:t>高新区各园管理局</w:t>
      </w:r>
      <w:r>
        <w:rPr>
          <w:rFonts w:hint="eastAsia" w:ascii="仿宋" w:hAnsi="仿宋" w:eastAsia="仿宋" w:cs="仿宋"/>
          <w:sz w:val="32"/>
          <w:szCs w:val="32"/>
          <w:lang w:bidi="ar"/>
        </w:rPr>
        <w:t>初审推荐。资料审查通过后，企业按要求提交纸质材料。</w:t>
      </w:r>
    </w:p>
    <w:p>
      <w:pPr>
        <w:autoSpaceDE w:val="0"/>
        <w:spacing w:line="58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2.申报材料包括以下内容：（1）认定申报书；（2）企业营业执照；（3）研发人员清单及学历证明文件；（4）依托单位上一年度财务审计报告；（5）上一年度研发费用专项审计报告；（6）近三年企业智能制造关键技术装备、软件投入清单、发票（复印件）和供应商情况；（7）知识产权证明材料；（8）工业局域网情况报告（</w:t>
      </w:r>
      <w:r>
        <w:rPr>
          <w:rFonts w:hint="eastAsia" w:ascii="仿宋" w:hAnsi="仿宋" w:eastAsia="仿宋" w:cs="仿宋"/>
          <w:sz w:val="32"/>
          <w:szCs w:val="32"/>
        </w:rPr>
        <w:t>已建有工业局域网的企业提供）或者开展工业互联网的规划报告等；</w:t>
      </w:r>
      <w:r>
        <w:rPr>
          <w:rFonts w:hint="eastAsia" w:ascii="仿宋" w:hAnsi="仿宋" w:eastAsia="仿宋" w:cs="仿宋"/>
          <w:sz w:val="32"/>
          <w:szCs w:val="32"/>
          <w:lang w:bidi="ar"/>
        </w:rPr>
        <w:t>（9）其他反映企业智能制造水平的材料。</w:t>
      </w:r>
    </w:p>
    <w:p>
      <w:pPr>
        <w:autoSpaceDE w:val="0"/>
        <w:spacing w:line="580" w:lineRule="exact"/>
        <w:ind w:firstLine="643" w:firstLineChars="200"/>
        <w:rPr>
          <w:rFonts w:ascii="楷体" w:hAnsi="楷体" w:eastAsia="楷体" w:cs="仿宋"/>
          <w:b/>
          <w:bCs/>
          <w:sz w:val="32"/>
          <w:szCs w:val="32"/>
          <w:lang w:bidi="ar"/>
        </w:rPr>
      </w:pPr>
      <w:r>
        <w:rPr>
          <w:rFonts w:hint="eastAsia" w:ascii="楷体" w:hAnsi="楷体" w:eastAsia="楷体" w:cs="仿宋"/>
          <w:b/>
          <w:bCs/>
          <w:sz w:val="32"/>
          <w:szCs w:val="32"/>
          <w:lang w:bidi="ar"/>
        </w:rPr>
        <w:t>（二）评审</w:t>
      </w:r>
    </w:p>
    <w:p>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佛山高新区管委会或委托第三方机构组织专家进行评审，经审核、评审等程序，形成佛山高新区智能工厂推荐名单。</w:t>
      </w:r>
    </w:p>
    <w:p>
      <w:pPr>
        <w:autoSpaceDE w:val="0"/>
        <w:spacing w:line="580" w:lineRule="exact"/>
        <w:ind w:firstLine="643" w:firstLineChars="200"/>
        <w:rPr>
          <w:rFonts w:ascii="楷体" w:hAnsi="楷体" w:eastAsia="楷体" w:cs="仿宋"/>
          <w:b/>
          <w:bCs/>
          <w:sz w:val="32"/>
          <w:szCs w:val="32"/>
        </w:rPr>
      </w:pPr>
      <w:r>
        <w:rPr>
          <w:rFonts w:hint="eastAsia" w:ascii="楷体" w:hAnsi="楷体" w:eastAsia="楷体" w:cs="仿宋"/>
          <w:b/>
          <w:bCs/>
          <w:sz w:val="32"/>
          <w:szCs w:val="32"/>
          <w:lang w:bidi="ar"/>
        </w:rPr>
        <w:t>（三）审议</w:t>
      </w:r>
    </w:p>
    <w:p>
      <w:pPr>
        <w:autoSpaceDE w:val="0"/>
        <w:spacing w:line="58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智能工厂推荐名单经佛山高新区管委会主任办公会议讨论研究，形成拟认定名单。</w:t>
      </w:r>
    </w:p>
    <w:p>
      <w:pPr>
        <w:autoSpaceDE w:val="0"/>
        <w:spacing w:line="580" w:lineRule="exact"/>
        <w:ind w:firstLine="643" w:firstLineChars="200"/>
        <w:rPr>
          <w:rFonts w:ascii="楷体" w:hAnsi="楷体" w:eastAsia="楷体" w:cs="仿宋"/>
          <w:b/>
          <w:bCs/>
          <w:sz w:val="32"/>
          <w:szCs w:val="32"/>
        </w:rPr>
      </w:pPr>
      <w:r>
        <w:rPr>
          <w:rFonts w:hint="eastAsia" w:ascii="楷体" w:hAnsi="楷体" w:eastAsia="楷体" w:cs="仿宋"/>
          <w:b/>
          <w:bCs/>
          <w:sz w:val="32"/>
          <w:szCs w:val="32"/>
          <w:lang w:bidi="ar"/>
        </w:rPr>
        <w:t>（四）公示</w:t>
      </w:r>
    </w:p>
    <w:p>
      <w:pPr>
        <w:spacing w:line="580" w:lineRule="exact"/>
        <w:ind w:firstLine="640" w:firstLineChars="200"/>
        <w:rPr>
          <w:rFonts w:ascii="仿宋" w:hAnsi="仿宋" w:eastAsia="仿宋" w:cs="仿宋"/>
          <w:sz w:val="32"/>
        </w:rPr>
      </w:pPr>
      <w:r>
        <w:rPr>
          <w:rFonts w:hint="eastAsia" w:ascii="仿宋" w:hAnsi="仿宋" w:eastAsia="仿宋" w:cs="仿宋"/>
          <w:sz w:val="32"/>
        </w:rPr>
        <w:t>将拟认定名单在佛山扶持通进行公示，公示期</w:t>
      </w:r>
      <w:r>
        <w:rPr>
          <w:rFonts w:ascii="仿宋" w:hAnsi="仿宋" w:eastAsia="仿宋" w:cs="仿宋"/>
          <w:sz w:val="32"/>
        </w:rPr>
        <w:t>5个</w:t>
      </w:r>
      <w:r>
        <w:rPr>
          <w:rFonts w:hint="eastAsia" w:ascii="仿宋" w:hAnsi="仿宋" w:eastAsia="仿宋" w:cs="仿宋"/>
          <w:sz w:val="32"/>
        </w:rPr>
        <w:t>自然</w:t>
      </w:r>
      <w:r>
        <w:rPr>
          <w:rFonts w:ascii="仿宋" w:hAnsi="仿宋" w:eastAsia="仿宋" w:cs="仿宋"/>
          <w:sz w:val="32"/>
        </w:rPr>
        <w:t>日。公示期内接到相关异议的，由</w:t>
      </w:r>
      <w:r>
        <w:rPr>
          <w:rFonts w:hint="eastAsia" w:ascii="仿宋" w:hAnsi="仿宋" w:eastAsia="仿宋" w:cs="仿宋"/>
          <w:sz w:val="32"/>
        </w:rPr>
        <w:t>佛山高新区各园管理局配合管委会</w:t>
      </w:r>
      <w:r>
        <w:rPr>
          <w:rFonts w:ascii="仿宋" w:hAnsi="仿宋" w:eastAsia="仿宋" w:cs="仿宋"/>
          <w:sz w:val="32"/>
        </w:rPr>
        <w:t>调查核实并处理</w:t>
      </w:r>
      <w:r>
        <w:rPr>
          <w:rFonts w:hint="eastAsia" w:ascii="仿宋" w:hAnsi="仿宋" w:eastAsia="仿宋" w:cs="仿宋"/>
          <w:sz w:val="32"/>
        </w:rPr>
        <w:t>。</w:t>
      </w:r>
    </w:p>
    <w:p>
      <w:pPr>
        <w:autoSpaceDE w:val="0"/>
        <w:spacing w:line="580" w:lineRule="exact"/>
        <w:ind w:firstLine="643" w:firstLineChars="200"/>
        <w:rPr>
          <w:rFonts w:ascii="楷体" w:hAnsi="楷体" w:eastAsia="楷体" w:cs="仿宋"/>
          <w:b/>
          <w:bCs/>
          <w:sz w:val="32"/>
          <w:szCs w:val="32"/>
        </w:rPr>
      </w:pPr>
      <w:r>
        <w:rPr>
          <w:rFonts w:hint="eastAsia" w:ascii="楷体" w:hAnsi="楷体" w:eastAsia="楷体" w:cs="仿宋"/>
          <w:b/>
          <w:bCs/>
          <w:sz w:val="32"/>
          <w:szCs w:val="32"/>
          <w:lang w:bidi="ar"/>
        </w:rPr>
        <w:t>（五）公布</w:t>
      </w:r>
    </w:p>
    <w:p>
      <w:pPr>
        <w:autoSpaceDE w:val="0"/>
        <w:spacing w:line="580" w:lineRule="exact"/>
        <w:ind w:firstLine="640" w:firstLineChars="200"/>
        <w:rPr>
          <w:rFonts w:ascii="仿宋" w:hAnsi="仿宋" w:eastAsia="仿宋" w:cs="仿宋"/>
          <w:sz w:val="32"/>
          <w:szCs w:val="32"/>
          <w:lang w:bidi="ar"/>
        </w:rPr>
      </w:pPr>
      <w:r>
        <w:rPr>
          <w:rFonts w:hint="eastAsia" w:ascii="仿宋" w:hAnsi="仿宋" w:eastAsia="仿宋" w:cs="仿宋"/>
          <w:sz w:val="32"/>
          <w:szCs w:val="32"/>
          <w:lang w:bidi="ar"/>
        </w:rPr>
        <w:t>公示无异议后，经佛山高新区管委会批准后通过佛山扶持通、佛山高新区官网对外公开发布。</w:t>
      </w:r>
    </w:p>
    <w:p>
      <w:pPr>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第七条</w:t>
      </w:r>
      <w:r>
        <w:rPr>
          <w:rFonts w:hint="eastAsia" w:ascii="仿宋" w:hAnsi="仿宋" w:eastAsia="仿宋" w:cs="仿宋"/>
          <w:sz w:val="32"/>
          <w:szCs w:val="32"/>
        </w:rPr>
        <w:t xml:space="preserve"> 佛山高新区智能工厂自公布之日起有效期3年。对获得智能工厂认定的企业，给予100万元一次性认定奖励。鼓励获得智能工厂认定的企业按照“灯塔工厂”评选标准进行建设，被</w:t>
      </w:r>
      <w:r>
        <w:rPr>
          <w:rFonts w:hint="eastAsia" w:ascii="仿宋" w:hAnsi="仿宋" w:eastAsia="仿宋" w:cs="仿宋"/>
          <w:sz w:val="32"/>
          <w:szCs w:val="32"/>
          <w:shd w:val="clear" w:color="auto" w:fill="FFFFFF"/>
        </w:rPr>
        <w:t>世界经济论坛</w:t>
      </w:r>
      <w:r>
        <w:rPr>
          <w:rFonts w:hint="eastAsia" w:ascii="仿宋" w:hAnsi="仿宋" w:eastAsia="仿宋" w:cs="仿宋"/>
          <w:sz w:val="32"/>
          <w:szCs w:val="32"/>
        </w:rPr>
        <w:t>公布为“灯塔工厂”的给予1000万元奖励。</w:t>
      </w:r>
    </w:p>
    <w:p>
      <w:pPr>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第八条 </w:t>
      </w:r>
      <w:r>
        <w:rPr>
          <w:rFonts w:hint="eastAsia" w:ascii="仿宋" w:hAnsi="仿宋" w:eastAsia="仿宋" w:cs="仿宋"/>
          <w:sz w:val="32"/>
          <w:szCs w:val="32"/>
        </w:rPr>
        <w:t>鼓励各园管理局根据实际情况给与配套支持。</w:t>
      </w:r>
    </w:p>
    <w:p>
      <w:pPr>
        <w:spacing w:line="580" w:lineRule="exact"/>
        <w:ind w:firstLine="640" w:firstLineChars="200"/>
        <w:rPr>
          <w:rFonts w:ascii="仿宋" w:hAnsi="仿宋" w:eastAsia="仿宋" w:cs="仿宋"/>
          <w:sz w:val="32"/>
          <w:szCs w:val="32"/>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第四章 资金拨付及管理</w:t>
      </w:r>
    </w:p>
    <w:p>
      <w:pPr>
        <w:spacing w:line="580" w:lineRule="exact"/>
        <w:jc w:val="center"/>
        <w:rPr>
          <w:rFonts w:ascii="黑体" w:hAnsi="黑体" w:eastAsia="黑体" w:cs="黑体"/>
          <w:sz w:val="32"/>
          <w:szCs w:val="32"/>
        </w:rPr>
      </w:pPr>
    </w:p>
    <w:p>
      <w:pPr>
        <w:spacing w:line="580" w:lineRule="exact"/>
        <w:ind w:firstLine="640" w:firstLineChars="200"/>
        <w:rPr>
          <w:rFonts w:ascii="仿宋" w:hAnsi="仿宋" w:eastAsia="仿宋" w:cs="仿宋"/>
          <w:sz w:val="32"/>
          <w:szCs w:val="32"/>
          <w:lang w:bidi="ar"/>
        </w:rPr>
      </w:pPr>
      <w:r>
        <w:rPr>
          <w:rFonts w:hint="eastAsia" w:ascii="黑体" w:hAnsi="黑体" w:eastAsia="黑体" w:cs="黑体"/>
          <w:sz w:val="32"/>
          <w:szCs w:val="32"/>
        </w:rPr>
        <w:t>第九条 资金拨付。</w:t>
      </w:r>
      <w:r>
        <w:rPr>
          <w:rFonts w:hint="eastAsia" w:ascii="仿宋" w:hAnsi="仿宋" w:eastAsia="仿宋" w:cs="仿宋"/>
          <w:sz w:val="32"/>
          <w:szCs w:val="32"/>
          <w:lang w:bidi="ar"/>
        </w:rPr>
        <w:t>佛山高新区智能工厂认定</w:t>
      </w:r>
      <w:r>
        <w:rPr>
          <w:rFonts w:hint="eastAsia" w:ascii="仿宋" w:hAnsi="仿宋" w:eastAsia="仿宋"/>
          <w:sz w:val="32"/>
          <w:szCs w:val="32"/>
        </w:rPr>
        <w:t>后，按照佛山高新区财政专项经费支出管理办法规定审批程序，做好资金支出审批</w:t>
      </w:r>
      <w:r>
        <w:rPr>
          <w:rFonts w:hint="eastAsia" w:ascii="仿宋" w:hAnsi="仿宋" w:eastAsia="仿宋" w:cs="仿宋"/>
          <w:sz w:val="32"/>
          <w:szCs w:val="32"/>
          <w:lang w:bidi="ar"/>
        </w:rPr>
        <w:t>。</w:t>
      </w:r>
      <w:r>
        <w:rPr>
          <w:rFonts w:hint="eastAsia" w:ascii="仿宋" w:hAnsi="仿宋" w:eastAsia="仿宋" w:cs="仿宋"/>
          <w:sz w:val="32"/>
          <w:szCs w:val="32"/>
        </w:rPr>
        <w:t>佛山高新区管委会划拨对应项目资助资金给各园管理局，各园管理局划拨对应项目资助资金给项目申报单位。</w:t>
      </w:r>
    </w:p>
    <w:p>
      <w:pPr>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第十条 信息公开。</w:t>
      </w:r>
      <w:r>
        <w:rPr>
          <w:rFonts w:hint="eastAsia" w:ascii="仿宋" w:hAnsi="仿宋" w:eastAsia="仿宋" w:cs="仿宋"/>
          <w:sz w:val="32"/>
          <w:szCs w:val="32"/>
        </w:rPr>
        <w:t>认定及资助实行信息公开管理，除涉及保密要求等特殊情况不予公开之外，按照佛山市财政专项资金管理办法等有关规定在佛山扶持通或佛山高新区官网进行公开，主动接受社会监督。</w:t>
      </w:r>
    </w:p>
    <w:p>
      <w:pPr>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第十一条 绩效评价。</w:t>
      </w:r>
      <w:bookmarkStart w:id="2" w:name="_Hlk42060906"/>
      <w:r>
        <w:rPr>
          <w:rFonts w:hint="eastAsia" w:ascii="仿宋" w:hAnsi="仿宋" w:eastAsia="仿宋" w:cs="仿宋"/>
          <w:sz w:val="32"/>
          <w:szCs w:val="32"/>
          <w:lang w:bidi="ar"/>
        </w:rPr>
        <w:t>预算年度终了或预算执行完毕，由科创局对当年度奖励资金的绩效指标完成情况和预算执行情况进行评价，形成自评报告报规财局备案。绩效评价具体工作参照佛山高新区经济发展专项资金管理办法的相关规定开展。</w:t>
      </w:r>
    </w:p>
    <w:bookmarkEnd w:id="2"/>
    <w:p>
      <w:pPr>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第十二条 经费计提。</w:t>
      </w:r>
      <w:r>
        <w:rPr>
          <w:rFonts w:hint="eastAsia" w:ascii="仿宋" w:hAnsi="仿宋" w:eastAsia="仿宋" w:cs="仿宋"/>
          <w:sz w:val="32"/>
          <w:szCs w:val="32"/>
          <w:lang w:bidi="ar"/>
        </w:rPr>
        <w:t>佛山高新区管委会计提专项资金总额1％的前期工作经费（用于下一年度预算项目入库的前期论证、立项、入库评审等）及1％的事中事后工作经费（用于本年度及以前年度项目验收考评、监督检查、内部审计、绩效管理等）。有其他文件专门就工作经费作出规定的按规定执行。</w:t>
      </w:r>
    </w:p>
    <w:p>
      <w:pPr>
        <w:widowControl/>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第十三条 监督检查。</w:t>
      </w:r>
      <w:r>
        <w:rPr>
          <w:rFonts w:hint="eastAsia" w:ascii="仿宋" w:hAnsi="仿宋" w:eastAsia="仿宋" w:cs="仿宋"/>
          <w:sz w:val="32"/>
          <w:szCs w:val="32"/>
        </w:rPr>
        <w:t>建立健全项目审核监督机制，佛山高新区管委会负责所有项目的监督与管理，并做好各园管理局工作的指导与监督,</w:t>
      </w:r>
      <w:r>
        <w:rPr>
          <w:rFonts w:hint="eastAsia" w:ascii="仿宋_GB2312" w:eastAsia="仿宋_GB2312"/>
          <w:sz w:val="32"/>
          <w:szCs w:val="32"/>
        </w:rPr>
        <w:t>必要时委托评审机构或项目所在</w:t>
      </w:r>
      <w:r>
        <w:rPr>
          <w:rFonts w:hint="eastAsia" w:ascii="仿宋" w:hAnsi="仿宋" w:eastAsia="仿宋" w:cs="仿宋"/>
          <w:sz w:val="32"/>
          <w:szCs w:val="32"/>
        </w:rPr>
        <w:t>各园管理局</w:t>
      </w:r>
      <w:r>
        <w:rPr>
          <w:rFonts w:hint="eastAsia" w:ascii="仿宋_GB2312" w:eastAsia="仿宋_GB2312"/>
          <w:sz w:val="32"/>
          <w:szCs w:val="32"/>
        </w:rPr>
        <w:t>对资金使用和项目实施情况进行专项检查</w:t>
      </w:r>
      <w:r>
        <w:rPr>
          <w:rFonts w:hint="eastAsia" w:ascii="仿宋" w:hAnsi="仿宋" w:eastAsia="仿宋" w:cs="仿宋"/>
          <w:sz w:val="32"/>
          <w:szCs w:val="32"/>
        </w:rPr>
        <w:t>，及时反映和纠正资助资金使用过程中存在的问题。</w:t>
      </w:r>
    </w:p>
    <w:p>
      <w:pPr>
        <w:spacing w:line="580" w:lineRule="exact"/>
        <w:jc w:val="center"/>
        <w:rPr>
          <w:rFonts w:ascii="黑体" w:hAnsi="黑体" w:eastAsia="黑体" w:cs="黑体"/>
          <w:sz w:val="32"/>
          <w:szCs w:val="32"/>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第五章 责任追究</w:t>
      </w:r>
    </w:p>
    <w:p>
      <w:pPr>
        <w:spacing w:line="580" w:lineRule="exact"/>
        <w:rPr>
          <w:rFonts w:ascii="黑体" w:hAnsi="黑体" w:eastAsia="黑体" w:cs="黑体"/>
          <w:sz w:val="32"/>
          <w:szCs w:val="32"/>
        </w:rPr>
      </w:pPr>
    </w:p>
    <w:p>
      <w:pPr>
        <w:widowControl/>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第十四条 </w:t>
      </w:r>
      <w:r>
        <w:rPr>
          <w:rFonts w:hint="eastAsia" w:ascii="仿宋" w:hAnsi="仿宋" w:eastAsia="仿宋" w:cs="仿宋"/>
          <w:sz w:val="32"/>
          <w:szCs w:val="32"/>
        </w:rPr>
        <w:t>申报单位应提供真实的材料和凭证。</w:t>
      </w:r>
      <w:r>
        <w:rPr>
          <w:rFonts w:hint="eastAsia" w:ascii="仿宋" w:hAnsi="仿宋" w:eastAsia="仿宋" w:cs="仿宋"/>
          <w:sz w:val="32"/>
          <w:szCs w:val="32"/>
          <w:lang w:bidi="ar"/>
        </w:rPr>
        <w:t>佛山高新区管委会</w:t>
      </w:r>
      <w:r>
        <w:rPr>
          <w:rFonts w:hint="eastAsia" w:ascii="仿宋" w:hAnsi="仿宋" w:eastAsia="仿宋" w:cs="仿宋"/>
          <w:sz w:val="32"/>
          <w:szCs w:val="32"/>
        </w:rPr>
        <w:t>可视情节轻重，对弄虚作假骗取奖补资金的申报单位采取通报、撤销资金项目、追缴奖补资金等措施。同时，申报单位3年内不得申报佛山高新区各类资助项目。申报单位构成犯罪的，依法追究法律责任。</w:t>
      </w:r>
    </w:p>
    <w:p>
      <w:pPr>
        <w:widowControl/>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第十五条 </w:t>
      </w:r>
      <w:bookmarkStart w:id="3" w:name="_Hlk42060938"/>
      <w:r>
        <w:rPr>
          <w:rFonts w:hint="eastAsia" w:ascii="仿宋" w:hAnsi="仿宋" w:eastAsia="仿宋" w:cs="仿宋"/>
          <w:spacing w:val="-6"/>
          <w:sz w:val="32"/>
          <w:szCs w:val="32"/>
        </w:rPr>
        <w:t>受委托的第三方服务机构、评审专家在认定评审过程中，存在弄虚作假、隐瞒事实、与申报单位串通作弊或者出具虚假报告等有失公正、客观等行为的,5年内不得再参与佛山高新区项目评审等任何服务，列入不诚信服务机构名单，在佛山高新区官网公告并函告市直有关部门。涉嫌违法犯罪的，依法移交司法机关处理。</w:t>
      </w:r>
    </w:p>
    <w:bookmarkEnd w:id="3"/>
    <w:p>
      <w:pPr>
        <w:widowControl/>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第十六条</w:t>
      </w:r>
      <w:r>
        <w:rPr>
          <w:rFonts w:hint="eastAsia" w:ascii="仿宋" w:hAnsi="仿宋" w:eastAsia="仿宋" w:cs="仿宋"/>
          <w:sz w:val="32"/>
          <w:szCs w:val="32"/>
        </w:rPr>
        <w:t xml:space="preserve"> 行政机关工作人员在执行本办法过程中应当依法履行职责，对有徇私舞弊、滥用职权、索贿受贿等行为的，交由纪检监察部门按照有关制度处理。</w:t>
      </w:r>
    </w:p>
    <w:p>
      <w:pPr>
        <w:spacing w:line="580" w:lineRule="exact"/>
        <w:ind w:firstLine="640" w:firstLineChars="200"/>
        <w:rPr>
          <w:rFonts w:ascii="仿宋" w:hAnsi="仿宋" w:eastAsia="仿宋" w:cs="仿宋"/>
          <w:sz w:val="32"/>
          <w:szCs w:val="32"/>
        </w:rPr>
      </w:pPr>
    </w:p>
    <w:p>
      <w:pPr>
        <w:spacing w:line="580" w:lineRule="exact"/>
        <w:jc w:val="center"/>
        <w:rPr>
          <w:rFonts w:ascii="黑体" w:hAnsi="黑体" w:eastAsia="黑体" w:cs="黑体"/>
          <w:sz w:val="32"/>
          <w:szCs w:val="32"/>
        </w:rPr>
      </w:pPr>
      <w:r>
        <w:rPr>
          <w:rFonts w:hint="eastAsia" w:ascii="黑体" w:hAnsi="黑体" w:eastAsia="黑体" w:cs="黑体"/>
          <w:sz w:val="32"/>
          <w:szCs w:val="32"/>
        </w:rPr>
        <w:t>第六章 附 则</w:t>
      </w:r>
    </w:p>
    <w:p>
      <w:pPr>
        <w:pStyle w:val="140"/>
        <w:spacing w:line="580" w:lineRule="exact"/>
        <w:ind w:firstLine="0" w:firstLineChars="0"/>
      </w:pPr>
    </w:p>
    <w:p>
      <w:pPr>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 xml:space="preserve">第十七条 </w:t>
      </w:r>
      <w:r>
        <w:rPr>
          <w:rFonts w:hint="eastAsia" w:ascii="仿宋" w:hAnsi="仿宋" w:eastAsia="仿宋" w:cs="仿宋"/>
          <w:sz w:val="32"/>
          <w:szCs w:val="32"/>
        </w:rPr>
        <w:t>本办法由佛山高新区管委会负责解释。</w:t>
      </w:r>
    </w:p>
    <w:p>
      <w:pPr>
        <w:spacing w:line="580" w:lineRule="exact"/>
        <w:ind w:firstLine="640" w:firstLineChars="200"/>
        <w:rPr>
          <w:rFonts w:ascii="仿宋" w:hAnsi="仿宋" w:eastAsia="仿宋" w:cs="仿宋"/>
          <w:sz w:val="32"/>
          <w:szCs w:val="32"/>
        </w:rPr>
      </w:pPr>
      <w:r>
        <w:rPr>
          <w:rFonts w:hint="eastAsia" w:ascii="黑体" w:hAnsi="黑体" w:eastAsia="黑体" w:cs="黑体"/>
          <w:sz w:val="32"/>
          <w:szCs w:val="32"/>
        </w:rPr>
        <w:t>第十八条</w:t>
      </w:r>
      <w:r>
        <w:rPr>
          <w:rFonts w:hint="eastAsia" w:ascii="仿宋" w:hAnsi="仿宋" w:eastAsia="仿宋" w:cs="仿宋"/>
          <w:b/>
          <w:bCs/>
          <w:sz w:val="32"/>
          <w:szCs w:val="32"/>
        </w:rPr>
        <w:t xml:space="preserve"> </w:t>
      </w:r>
      <w:r>
        <w:rPr>
          <w:rFonts w:hint="eastAsia" w:ascii="仿宋" w:hAnsi="仿宋" w:eastAsia="仿宋" w:cs="仿宋"/>
          <w:sz w:val="32"/>
          <w:szCs w:val="32"/>
        </w:rPr>
        <w:t>本办法自2020年XX月XX日起实施，有效期三年。</w:t>
      </w:r>
    </w:p>
    <w:p>
      <w:pPr>
        <w:spacing w:line="580" w:lineRule="exact"/>
        <w:ind w:firstLine="643" w:firstLineChars="200"/>
        <w:jc w:val="left"/>
        <w:rPr>
          <w:rFonts w:ascii="楷体" w:hAnsi="楷体" w:eastAsia="楷体" w:cs="楷体"/>
          <w:b/>
          <w:bCs/>
          <w:sz w:val="32"/>
          <w:szCs w:val="32"/>
        </w:rPr>
      </w:pPr>
    </w:p>
    <w:sectPr>
      <w:headerReference r:id="rId3" w:type="default"/>
      <w:footerReference r:id="rId4" w:type="default"/>
      <w:pgSz w:w="11906" w:h="16838"/>
      <w:pgMar w:top="2098" w:right="1474" w:bottom="1984" w:left="1587" w:header="851" w:footer="992" w:gutter="0"/>
      <w:pgNumType w:fmt="numberInDash"/>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451485" cy="236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14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35.55pt;mso-position-horizontal:outside;mso-position-horizontal-relative:margin;mso-wrap-style:none;z-index:251658240;mso-width-relative:page;mso-height-relative:page;" filled="f" stroked="f" coordsize="21600,21600" o:gfxdata="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Yx7H/SAAAAAwEAAA8AAAAAAAAAAQAg&#10;AAAAIgAAAGRycy9kb3ducmV2LnhtbFBLAQIUABQAAAAIAIdO4kAJXTF8FAIAAAUEAAAOAAAAAAAA&#10;AAEAIAAAACEBAABkcnMvZTJvRG9jLnhtbFBLBQYAAAAABgAGAFkBAACnBQAAAAA=&#10;">
              <v:fill on="f" focussize="0,0"/>
              <v:stroke on="f" weight="0.5pt"/>
              <v:imagedata o:title=""/>
              <o:lock v:ext="edit" aspectratio="f"/>
              <v:textbox inset="0mm,0mm,0mm,0mm" style="mso-fit-shape-to-text:t;">
                <w:txbxContent>
                  <w:p>
                    <w:pPr>
                      <w:pStyle w:val="8"/>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- 7 -</w:t>
                    </w:r>
                    <w:r>
                      <w:rPr>
                        <w:rFonts w:hint="eastAsia" w:asciiTheme="minorEastAsia" w:hAnsi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317"/>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67E"/>
    <w:rsid w:val="00000C10"/>
    <w:rsid w:val="00004D7F"/>
    <w:rsid w:val="0000620F"/>
    <w:rsid w:val="00032F7A"/>
    <w:rsid w:val="00046320"/>
    <w:rsid w:val="000628F8"/>
    <w:rsid w:val="000762E3"/>
    <w:rsid w:val="00080824"/>
    <w:rsid w:val="00081B07"/>
    <w:rsid w:val="000B467E"/>
    <w:rsid w:val="000D1101"/>
    <w:rsid w:val="000D44E5"/>
    <w:rsid w:val="000E0501"/>
    <w:rsid w:val="000E35B3"/>
    <w:rsid w:val="000F5584"/>
    <w:rsid w:val="000F5D68"/>
    <w:rsid w:val="001055EE"/>
    <w:rsid w:val="00106408"/>
    <w:rsid w:val="00110C41"/>
    <w:rsid w:val="001115CB"/>
    <w:rsid w:val="00111FEC"/>
    <w:rsid w:val="001126C3"/>
    <w:rsid w:val="00117F71"/>
    <w:rsid w:val="00137955"/>
    <w:rsid w:val="00137F94"/>
    <w:rsid w:val="00141E52"/>
    <w:rsid w:val="00160BD7"/>
    <w:rsid w:val="00164E3F"/>
    <w:rsid w:val="0018427D"/>
    <w:rsid w:val="00185101"/>
    <w:rsid w:val="00185ACD"/>
    <w:rsid w:val="00186963"/>
    <w:rsid w:val="00186F4C"/>
    <w:rsid w:val="00187FC9"/>
    <w:rsid w:val="001906F7"/>
    <w:rsid w:val="00191BAE"/>
    <w:rsid w:val="00191C89"/>
    <w:rsid w:val="001976B7"/>
    <w:rsid w:val="001B017D"/>
    <w:rsid w:val="001B2EF6"/>
    <w:rsid w:val="001D7780"/>
    <w:rsid w:val="001F2D5F"/>
    <w:rsid w:val="002002EB"/>
    <w:rsid w:val="00220277"/>
    <w:rsid w:val="00220316"/>
    <w:rsid w:val="002205AC"/>
    <w:rsid w:val="00221A5E"/>
    <w:rsid w:val="002239D7"/>
    <w:rsid w:val="00256154"/>
    <w:rsid w:val="00260D3E"/>
    <w:rsid w:val="002678B5"/>
    <w:rsid w:val="00276AC7"/>
    <w:rsid w:val="00287738"/>
    <w:rsid w:val="002A270D"/>
    <w:rsid w:val="002D63CF"/>
    <w:rsid w:val="00313D8C"/>
    <w:rsid w:val="00315A1B"/>
    <w:rsid w:val="00322544"/>
    <w:rsid w:val="00323168"/>
    <w:rsid w:val="00346853"/>
    <w:rsid w:val="00346AE4"/>
    <w:rsid w:val="003559FC"/>
    <w:rsid w:val="00373DDE"/>
    <w:rsid w:val="00376DB2"/>
    <w:rsid w:val="00392FCD"/>
    <w:rsid w:val="003A0EA9"/>
    <w:rsid w:val="003A6E6D"/>
    <w:rsid w:val="003D34FA"/>
    <w:rsid w:val="003D6E70"/>
    <w:rsid w:val="003E2218"/>
    <w:rsid w:val="003F40EB"/>
    <w:rsid w:val="004012C9"/>
    <w:rsid w:val="00420B23"/>
    <w:rsid w:val="00431D79"/>
    <w:rsid w:val="00443DF5"/>
    <w:rsid w:val="00445073"/>
    <w:rsid w:val="0045400E"/>
    <w:rsid w:val="0045510E"/>
    <w:rsid w:val="00470AC4"/>
    <w:rsid w:val="00480590"/>
    <w:rsid w:val="004819CC"/>
    <w:rsid w:val="00487424"/>
    <w:rsid w:val="004B3B1C"/>
    <w:rsid w:val="004B567F"/>
    <w:rsid w:val="004C06B9"/>
    <w:rsid w:val="004C21D8"/>
    <w:rsid w:val="004C5B11"/>
    <w:rsid w:val="004D35E3"/>
    <w:rsid w:val="004E54C5"/>
    <w:rsid w:val="004E6575"/>
    <w:rsid w:val="004F077E"/>
    <w:rsid w:val="004F1BAC"/>
    <w:rsid w:val="004F224D"/>
    <w:rsid w:val="005020D3"/>
    <w:rsid w:val="00510071"/>
    <w:rsid w:val="0051118F"/>
    <w:rsid w:val="00513543"/>
    <w:rsid w:val="00513BC2"/>
    <w:rsid w:val="00517238"/>
    <w:rsid w:val="0052696F"/>
    <w:rsid w:val="00536D22"/>
    <w:rsid w:val="00537348"/>
    <w:rsid w:val="00545798"/>
    <w:rsid w:val="005474A0"/>
    <w:rsid w:val="00556FF3"/>
    <w:rsid w:val="00571F09"/>
    <w:rsid w:val="005777F4"/>
    <w:rsid w:val="00587443"/>
    <w:rsid w:val="00590AD6"/>
    <w:rsid w:val="005F6089"/>
    <w:rsid w:val="0060241B"/>
    <w:rsid w:val="00607107"/>
    <w:rsid w:val="00610262"/>
    <w:rsid w:val="0061244B"/>
    <w:rsid w:val="00620990"/>
    <w:rsid w:val="006242A3"/>
    <w:rsid w:val="00626EC5"/>
    <w:rsid w:val="0062779C"/>
    <w:rsid w:val="00631F53"/>
    <w:rsid w:val="00637DA5"/>
    <w:rsid w:val="0064518F"/>
    <w:rsid w:val="0065103A"/>
    <w:rsid w:val="00662D3D"/>
    <w:rsid w:val="0066789D"/>
    <w:rsid w:val="00681EA9"/>
    <w:rsid w:val="00685D31"/>
    <w:rsid w:val="00695230"/>
    <w:rsid w:val="00695C0B"/>
    <w:rsid w:val="006A1DF5"/>
    <w:rsid w:val="006A7305"/>
    <w:rsid w:val="006B489B"/>
    <w:rsid w:val="006C5F21"/>
    <w:rsid w:val="006C712F"/>
    <w:rsid w:val="006D0A95"/>
    <w:rsid w:val="006D438C"/>
    <w:rsid w:val="006D604F"/>
    <w:rsid w:val="006D766C"/>
    <w:rsid w:val="00705CDC"/>
    <w:rsid w:val="0071308C"/>
    <w:rsid w:val="007147F4"/>
    <w:rsid w:val="0072233A"/>
    <w:rsid w:val="007350FB"/>
    <w:rsid w:val="00747CF9"/>
    <w:rsid w:val="00757391"/>
    <w:rsid w:val="007734FD"/>
    <w:rsid w:val="00782683"/>
    <w:rsid w:val="007836F8"/>
    <w:rsid w:val="00791451"/>
    <w:rsid w:val="00792DFE"/>
    <w:rsid w:val="007B58CB"/>
    <w:rsid w:val="007D5B2F"/>
    <w:rsid w:val="007E136E"/>
    <w:rsid w:val="007E7B66"/>
    <w:rsid w:val="007F749B"/>
    <w:rsid w:val="00803116"/>
    <w:rsid w:val="008043A9"/>
    <w:rsid w:val="00810579"/>
    <w:rsid w:val="00813A32"/>
    <w:rsid w:val="00820899"/>
    <w:rsid w:val="00830F93"/>
    <w:rsid w:val="00831CBD"/>
    <w:rsid w:val="0085395A"/>
    <w:rsid w:val="00861F0D"/>
    <w:rsid w:val="00861F24"/>
    <w:rsid w:val="00871AD4"/>
    <w:rsid w:val="0087256A"/>
    <w:rsid w:val="00881FBA"/>
    <w:rsid w:val="008873C6"/>
    <w:rsid w:val="008915B4"/>
    <w:rsid w:val="0089262D"/>
    <w:rsid w:val="00896C86"/>
    <w:rsid w:val="008C332E"/>
    <w:rsid w:val="008D6630"/>
    <w:rsid w:val="008F2E2E"/>
    <w:rsid w:val="008F5662"/>
    <w:rsid w:val="00907A4F"/>
    <w:rsid w:val="00917216"/>
    <w:rsid w:val="009217EC"/>
    <w:rsid w:val="00937542"/>
    <w:rsid w:val="009602E1"/>
    <w:rsid w:val="0098067A"/>
    <w:rsid w:val="009A5910"/>
    <w:rsid w:val="009B2729"/>
    <w:rsid w:val="009B32E3"/>
    <w:rsid w:val="009B74C5"/>
    <w:rsid w:val="009E609B"/>
    <w:rsid w:val="009F1AF7"/>
    <w:rsid w:val="00A02451"/>
    <w:rsid w:val="00A041C4"/>
    <w:rsid w:val="00A06261"/>
    <w:rsid w:val="00A10B27"/>
    <w:rsid w:val="00A135EE"/>
    <w:rsid w:val="00A14270"/>
    <w:rsid w:val="00A31DDE"/>
    <w:rsid w:val="00A479F1"/>
    <w:rsid w:val="00A505C0"/>
    <w:rsid w:val="00A57988"/>
    <w:rsid w:val="00A661DC"/>
    <w:rsid w:val="00A74BEA"/>
    <w:rsid w:val="00A77AA0"/>
    <w:rsid w:val="00A81EC8"/>
    <w:rsid w:val="00AA6165"/>
    <w:rsid w:val="00AB1A86"/>
    <w:rsid w:val="00AC27E0"/>
    <w:rsid w:val="00AD2524"/>
    <w:rsid w:val="00AD370D"/>
    <w:rsid w:val="00AE50C6"/>
    <w:rsid w:val="00AE6294"/>
    <w:rsid w:val="00AE6FD4"/>
    <w:rsid w:val="00AE7917"/>
    <w:rsid w:val="00AE7FDA"/>
    <w:rsid w:val="00AF64DB"/>
    <w:rsid w:val="00AF6AAE"/>
    <w:rsid w:val="00B04D58"/>
    <w:rsid w:val="00B120FF"/>
    <w:rsid w:val="00B30294"/>
    <w:rsid w:val="00B32763"/>
    <w:rsid w:val="00B403E8"/>
    <w:rsid w:val="00B46686"/>
    <w:rsid w:val="00B51AE8"/>
    <w:rsid w:val="00B613F0"/>
    <w:rsid w:val="00B82014"/>
    <w:rsid w:val="00B831E9"/>
    <w:rsid w:val="00B836F6"/>
    <w:rsid w:val="00B86A84"/>
    <w:rsid w:val="00B915F2"/>
    <w:rsid w:val="00B95C70"/>
    <w:rsid w:val="00BA15D8"/>
    <w:rsid w:val="00BA7893"/>
    <w:rsid w:val="00BB3F8E"/>
    <w:rsid w:val="00BB5125"/>
    <w:rsid w:val="00BD1DC5"/>
    <w:rsid w:val="00BD2779"/>
    <w:rsid w:val="00BD3AF6"/>
    <w:rsid w:val="00BD6ADA"/>
    <w:rsid w:val="00BE5373"/>
    <w:rsid w:val="00C01703"/>
    <w:rsid w:val="00C026B1"/>
    <w:rsid w:val="00C20DCF"/>
    <w:rsid w:val="00C25272"/>
    <w:rsid w:val="00C2528C"/>
    <w:rsid w:val="00C34B5C"/>
    <w:rsid w:val="00C403B7"/>
    <w:rsid w:val="00C624B9"/>
    <w:rsid w:val="00C66636"/>
    <w:rsid w:val="00C95BCB"/>
    <w:rsid w:val="00CB131A"/>
    <w:rsid w:val="00CD4815"/>
    <w:rsid w:val="00CE1D6B"/>
    <w:rsid w:val="00CE4715"/>
    <w:rsid w:val="00CE52A2"/>
    <w:rsid w:val="00CF57F2"/>
    <w:rsid w:val="00D13AE1"/>
    <w:rsid w:val="00D13D46"/>
    <w:rsid w:val="00D1784F"/>
    <w:rsid w:val="00D25A95"/>
    <w:rsid w:val="00D27D16"/>
    <w:rsid w:val="00D63CCF"/>
    <w:rsid w:val="00D718D8"/>
    <w:rsid w:val="00D844F0"/>
    <w:rsid w:val="00D85317"/>
    <w:rsid w:val="00D938A2"/>
    <w:rsid w:val="00D95EE0"/>
    <w:rsid w:val="00DA0F49"/>
    <w:rsid w:val="00DA1EF0"/>
    <w:rsid w:val="00DA436A"/>
    <w:rsid w:val="00DD399F"/>
    <w:rsid w:val="00DD5D69"/>
    <w:rsid w:val="00DE0B88"/>
    <w:rsid w:val="00DE4BDF"/>
    <w:rsid w:val="00DE4FAE"/>
    <w:rsid w:val="00DF6BDC"/>
    <w:rsid w:val="00E00A32"/>
    <w:rsid w:val="00E012F3"/>
    <w:rsid w:val="00E10F5C"/>
    <w:rsid w:val="00E12205"/>
    <w:rsid w:val="00E31E27"/>
    <w:rsid w:val="00E32A32"/>
    <w:rsid w:val="00E35F82"/>
    <w:rsid w:val="00E4268B"/>
    <w:rsid w:val="00E42AC4"/>
    <w:rsid w:val="00E44FB9"/>
    <w:rsid w:val="00E53C22"/>
    <w:rsid w:val="00E55BB3"/>
    <w:rsid w:val="00E75428"/>
    <w:rsid w:val="00E7744A"/>
    <w:rsid w:val="00E82D44"/>
    <w:rsid w:val="00E87C2F"/>
    <w:rsid w:val="00E91CF2"/>
    <w:rsid w:val="00E923BC"/>
    <w:rsid w:val="00EA0E5A"/>
    <w:rsid w:val="00EA7B75"/>
    <w:rsid w:val="00EE080A"/>
    <w:rsid w:val="00EE4052"/>
    <w:rsid w:val="00EF0986"/>
    <w:rsid w:val="00EF4A05"/>
    <w:rsid w:val="00EF6603"/>
    <w:rsid w:val="00EF68D8"/>
    <w:rsid w:val="00F148C2"/>
    <w:rsid w:val="00F16F73"/>
    <w:rsid w:val="00F22B37"/>
    <w:rsid w:val="00F31498"/>
    <w:rsid w:val="00F31B93"/>
    <w:rsid w:val="00F32F65"/>
    <w:rsid w:val="00F361EE"/>
    <w:rsid w:val="00F4564E"/>
    <w:rsid w:val="00F45755"/>
    <w:rsid w:val="00F47EAD"/>
    <w:rsid w:val="00F64AEA"/>
    <w:rsid w:val="00F803FC"/>
    <w:rsid w:val="00F84E75"/>
    <w:rsid w:val="00F86E5A"/>
    <w:rsid w:val="00F879BA"/>
    <w:rsid w:val="00F93DA3"/>
    <w:rsid w:val="00FB2721"/>
    <w:rsid w:val="00FB2D27"/>
    <w:rsid w:val="00FB5842"/>
    <w:rsid w:val="00FD7A17"/>
    <w:rsid w:val="00FF2228"/>
    <w:rsid w:val="01C10AFB"/>
    <w:rsid w:val="023267A4"/>
    <w:rsid w:val="024457B1"/>
    <w:rsid w:val="0274455B"/>
    <w:rsid w:val="02CE577A"/>
    <w:rsid w:val="042D20F7"/>
    <w:rsid w:val="047B1F78"/>
    <w:rsid w:val="0520444A"/>
    <w:rsid w:val="0540601E"/>
    <w:rsid w:val="05CB1025"/>
    <w:rsid w:val="067E5B21"/>
    <w:rsid w:val="06835D2F"/>
    <w:rsid w:val="06A15FAE"/>
    <w:rsid w:val="082A07F5"/>
    <w:rsid w:val="08AC252F"/>
    <w:rsid w:val="08C4220D"/>
    <w:rsid w:val="08D51A05"/>
    <w:rsid w:val="09CA4945"/>
    <w:rsid w:val="09E70C67"/>
    <w:rsid w:val="0A4932B8"/>
    <w:rsid w:val="0A6514A0"/>
    <w:rsid w:val="0ACA4892"/>
    <w:rsid w:val="0AD64CEF"/>
    <w:rsid w:val="0BBA1A5F"/>
    <w:rsid w:val="0BCC38A6"/>
    <w:rsid w:val="0C5D4544"/>
    <w:rsid w:val="0D696410"/>
    <w:rsid w:val="0E6E2024"/>
    <w:rsid w:val="0E983FD0"/>
    <w:rsid w:val="0E987ED3"/>
    <w:rsid w:val="0EE81AB1"/>
    <w:rsid w:val="10D51CE1"/>
    <w:rsid w:val="11135818"/>
    <w:rsid w:val="1117339A"/>
    <w:rsid w:val="116C1C52"/>
    <w:rsid w:val="11BB23ED"/>
    <w:rsid w:val="11D8628B"/>
    <w:rsid w:val="120F0D59"/>
    <w:rsid w:val="12455008"/>
    <w:rsid w:val="12572A02"/>
    <w:rsid w:val="12A84EB1"/>
    <w:rsid w:val="12EE1F9C"/>
    <w:rsid w:val="1318490E"/>
    <w:rsid w:val="13A80C79"/>
    <w:rsid w:val="13EF0EBD"/>
    <w:rsid w:val="14075C33"/>
    <w:rsid w:val="14982F55"/>
    <w:rsid w:val="150E728E"/>
    <w:rsid w:val="152C2807"/>
    <w:rsid w:val="154D531C"/>
    <w:rsid w:val="1576329E"/>
    <w:rsid w:val="1652372E"/>
    <w:rsid w:val="16C674EE"/>
    <w:rsid w:val="19856970"/>
    <w:rsid w:val="19CE534D"/>
    <w:rsid w:val="1A034D9B"/>
    <w:rsid w:val="1A2B3155"/>
    <w:rsid w:val="1AA53E9F"/>
    <w:rsid w:val="1AEB1625"/>
    <w:rsid w:val="1B8867B4"/>
    <w:rsid w:val="1B8A72D0"/>
    <w:rsid w:val="1BC6225B"/>
    <w:rsid w:val="1C7F3321"/>
    <w:rsid w:val="1DCF51C2"/>
    <w:rsid w:val="1E310EB6"/>
    <w:rsid w:val="1E616DE7"/>
    <w:rsid w:val="1E931B0C"/>
    <w:rsid w:val="1EAC6C35"/>
    <w:rsid w:val="1F3209EE"/>
    <w:rsid w:val="1FE65829"/>
    <w:rsid w:val="20056C62"/>
    <w:rsid w:val="203F4741"/>
    <w:rsid w:val="22143AB8"/>
    <w:rsid w:val="22BF3CC7"/>
    <w:rsid w:val="22DD42F8"/>
    <w:rsid w:val="2300462C"/>
    <w:rsid w:val="233C76F9"/>
    <w:rsid w:val="234D3646"/>
    <w:rsid w:val="23502B2A"/>
    <w:rsid w:val="23C1408C"/>
    <w:rsid w:val="24E94EDA"/>
    <w:rsid w:val="255E6B39"/>
    <w:rsid w:val="25BB6D1A"/>
    <w:rsid w:val="25E8680E"/>
    <w:rsid w:val="261A0610"/>
    <w:rsid w:val="269B5BF1"/>
    <w:rsid w:val="269C51E1"/>
    <w:rsid w:val="28124983"/>
    <w:rsid w:val="28160BD2"/>
    <w:rsid w:val="29712CFE"/>
    <w:rsid w:val="29784C07"/>
    <w:rsid w:val="29A36FF2"/>
    <w:rsid w:val="29A710AB"/>
    <w:rsid w:val="29DD0E84"/>
    <w:rsid w:val="2A36244B"/>
    <w:rsid w:val="2A3A6D6C"/>
    <w:rsid w:val="2A540CF2"/>
    <w:rsid w:val="2AC54B0B"/>
    <w:rsid w:val="2B024863"/>
    <w:rsid w:val="2B024AF8"/>
    <w:rsid w:val="2B0C5AA4"/>
    <w:rsid w:val="2B2D016C"/>
    <w:rsid w:val="2B52179D"/>
    <w:rsid w:val="2BDE6B34"/>
    <w:rsid w:val="2BED55CA"/>
    <w:rsid w:val="2DB75754"/>
    <w:rsid w:val="2DCB5240"/>
    <w:rsid w:val="2E5D1D37"/>
    <w:rsid w:val="2E847538"/>
    <w:rsid w:val="2EF47DE4"/>
    <w:rsid w:val="302837BF"/>
    <w:rsid w:val="306E1748"/>
    <w:rsid w:val="30BF76D4"/>
    <w:rsid w:val="30C3098E"/>
    <w:rsid w:val="310B5398"/>
    <w:rsid w:val="315079F5"/>
    <w:rsid w:val="324E7D8D"/>
    <w:rsid w:val="328B6B12"/>
    <w:rsid w:val="32F77429"/>
    <w:rsid w:val="33757FB1"/>
    <w:rsid w:val="33AD2DBB"/>
    <w:rsid w:val="33F4117E"/>
    <w:rsid w:val="343F4953"/>
    <w:rsid w:val="345572AF"/>
    <w:rsid w:val="35095276"/>
    <w:rsid w:val="354F6582"/>
    <w:rsid w:val="3636138E"/>
    <w:rsid w:val="366C14E7"/>
    <w:rsid w:val="36B346BF"/>
    <w:rsid w:val="370F3CE9"/>
    <w:rsid w:val="37794EAD"/>
    <w:rsid w:val="37CC59BC"/>
    <w:rsid w:val="37D2197C"/>
    <w:rsid w:val="38F21636"/>
    <w:rsid w:val="38F6258C"/>
    <w:rsid w:val="39381CCC"/>
    <w:rsid w:val="3A0E75B6"/>
    <w:rsid w:val="3B3316CA"/>
    <w:rsid w:val="3BD204FB"/>
    <w:rsid w:val="3D3F38EF"/>
    <w:rsid w:val="3D5D5A50"/>
    <w:rsid w:val="3EC342E4"/>
    <w:rsid w:val="3ECB43A5"/>
    <w:rsid w:val="40217ABB"/>
    <w:rsid w:val="404D6A5C"/>
    <w:rsid w:val="40567E9A"/>
    <w:rsid w:val="40862CA6"/>
    <w:rsid w:val="40D60741"/>
    <w:rsid w:val="41E84DA8"/>
    <w:rsid w:val="42854206"/>
    <w:rsid w:val="42C359A0"/>
    <w:rsid w:val="43752E0D"/>
    <w:rsid w:val="4396704A"/>
    <w:rsid w:val="43C34EE4"/>
    <w:rsid w:val="43D24C20"/>
    <w:rsid w:val="44A15C6F"/>
    <w:rsid w:val="44BF55A5"/>
    <w:rsid w:val="44ED539D"/>
    <w:rsid w:val="44EF1D15"/>
    <w:rsid w:val="456A3FB5"/>
    <w:rsid w:val="463B660A"/>
    <w:rsid w:val="464E7186"/>
    <w:rsid w:val="466E2A6C"/>
    <w:rsid w:val="477862AC"/>
    <w:rsid w:val="484043D1"/>
    <w:rsid w:val="49D046F7"/>
    <w:rsid w:val="4A1E2DD9"/>
    <w:rsid w:val="4A604B74"/>
    <w:rsid w:val="4ACE28E9"/>
    <w:rsid w:val="4AE6213F"/>
    <w:rsid w:val="4B1B3484"/>
    <w:rsid w:val="4B97286B"/>
    <w:rsid w:val="4BFF67D4"/>
    <w:rsid w:val="4D6F4A45"/>
    <w:rsid w:val="4E4D642E"/>
    <w:rsid w:val="4E66555D"/>
    <w:rsid w:val="4E67389B"/>
    <w:rsid w:val="4F6C1A27"/>
    <w:rsid w:val="4FDF0C38"/>
    <w:rsid w:val="4FEA0260"/>
    <w:rsid w:val="4FF43C64"/>
    <w:rsid w:val="50067309"/>
    <w:rsid w:val="52DE4A0C"/>
    <w:rsid w:val="55BC3CC4"/>
    <w:rsid w:val="565E6A14"/>
    <w:rsid w:val="56F232DD"/>
    <w:rsid w:val="57071089"/>
    <w:rsid w:val="57527664"/>
    <w:rsid w:val="57A90AA1"/>
    <w:rsid w:val="57C248DE"/>
    <w:rsid w:val="57C822C1"/>
    <w:rsid w:val="58E057BD"/>
    <w:rsid w:val="599244DB"/>
    <w:rsid w:val="59DD7FEE"/>
    <w:rsid w:val="5A9916CC"/>
    <w:rsid w:val="5AC85743"/>
    <w:rsid w:val="5AD1508E"/>
    <w:rsid w:val="5B2F3D60"/>
    <w:rsid w:val="5B322713"/>
    <w:rsid w:val="5B9C17AC"/>
    <w:rsid w:val="5BAA77F0"/>
    <w:rsid w:val="5C10638E"/>
    <w:rsid w:val="5CFC328F"/>
    <w:rsid w:val="5D030E7E"/>
    <w:rsid w:val="5D3F1F18"/>
    <w:rsid w:val="5DA45035"/>
    <w:rsid w:val="5DCE2169"/>
    <w:rsid w:val="5DFB369A"/>
    <w:rsid w:val="5EF63AF1"/>
    <w:rsid w:val="5F9638A9"/>
    <w:rsid w:val="5FC436AB"/>
    <w:rsid w:val="604E04A4"/>
    <w:rsid w:val="605808D6"/>
    <w:rsid w:val="608E1C6B"/>
    <w:rsid w:val="60B77738"/>
    <w:rsid w:val="60ED3453"/>
    <w:rsid w:val="613C4961"/>
    <w:rsid w:val="61AF61EB"/>
    <w:rsid w:val="62D6332B"/>
    <w:rsid w:val="62F41EB5"/>
    <w:rsid w:val="631D13E8"/>
    <w:rsid w:val="636C621A"/>
    <w:rsid w:val="646210B3"/>
    <w:rsid w:val="650115DD"/>
    <w:rsid w:val="66893CF7"/>
    <w:rsid w:val="668C3FE1"/>
    <w:rsid w:val="672C259D"/>
    <w:rsid w:val="67BA13BB"/>
    <w:rsid w:val="691C6140"/>
    <w:rsid w:val="691C676B"/>
    <w:rsid w:val="69416648"/>
    <w:rsid w:val="6B1968A7"/>
    <w:rsid w:val="6B560EF6"/>
    <w:rsid w:val="6C4F779A"/>
    <w:rsid w:val="6C5C0BB2"/>
    <w:rsid w:val="6CD25261"/>
    <w:rsid w:val="6D0C65E7"/>
    <w:rsid w:val="6DE56821"/>
    <w:rsid w:val="6DFF4B4F"/>
    <w:rsid w:val="6E860E87"/>
    <w:rsid w:val="6EB74E36"/>
    <w:rsid w:val="6F1D213D"/>
    <w:rsid w:val="6F22078A"/>
    <w:rsid w:val="6F8C1A19"/>
    <w:rsid w:val="70194579"/>
    <w:rsid w:val="706E2D27"/>
    <w:rsid w:val="70846708"/>
    <w:rsid w:val="71337EFE"/>
    <w:rsid w:val="718C062D"/>
    <w:rsid w:val="71E10AD0"/>
    <w:rsid w:val="720F7C57"/>
    <w:rsid w:val="727A3EBC"/>
    <w:rsid w:val="733054D0"/>
    <w:rsid w:val="74C4777B"/>
    <w:rsid w:val="75761FC4"/>
    <w:rsid w:val="75E83A76"/>
    <w:rsid w:val="761D2B90"/>
    <w:rsid w:val="763061A3"/>
    <w:rsid w:val="767A2CF3"/>
    <w:rsid w:val="76E941C0"/>
    <w:rsid w:val="77ED5463"/>
    <w:rsid w:val="788C05A8"/>
    <w:rsid w:val="78C10510"/>
    <w:rsid w:val="7941509D"/>
    <w:rsid w:val="79982E92"/>
    <w:rsid w:val="79AF5244"/>
    <w:rsid w:val="79EA562F"/>
    <w:rsid w:val="7A1C66C6"/>
    <w:rsid w:val="7A4F31B4"/>
    <w:rsid w:val="7A8C5B5A"/>
    <w:rsid w:val="7A9568FB"/>
    <w:rsid w:val="7AF52C72"/>
    <w:rsid w:val="7C32216A"/>
    <w:rsid w:val="7CA701B8"/>
    <w:rsid w:val="7D172881"/>
    <w:rsid w:val="7D327CAA"/>
    <w:rsid w:val="7DAF58A8"/>
    <w:rsid w:val="7DD95E3A"/>
    <w:rsid w:val="7DEC1A1F"/>
    <w:rsid w:val="7EEC1094"/>
    <w:rsid w:val="7EF4556B"/>
    <w:rsid w:val="7F996B07"/>
    <w:rsid w:val="7F9D5299"/>
    <w:rsid w:val="7FBB5789"/>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link w:val="2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1">
    <w:name w:val="Default Paragraph Font"/>
    <w:semiHidden/>
    <w:unhideWhenUsed/>
    <w:uiPriority w:val="1"/>
  </w:style>
  <w:style w:type="table" w:default="1" w:styleId="24">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33"/>
    <w:semiHidden/>
    <w:unhideWhenUsed/>
    <w:qFormat/>
    <w:uiPriority w:val="99"/>
    <w:rPr>
      <w:b/>
      <w:bCs/>
    </w:rPr>
  </w:style>
  <w:style w:type="paragraph" w:styleId="6">
    <w:name w:val="annotation text"/>
    <w:basedOn w:val="1"/>
    <w:link w:val="32"/>
    <w:unhideWhenUsed/>
    <w:qFormat/>
    <w:uiPriority w:val="99"/>
    <w:pPr>
      <w:jc w:val="left"/>
    </w:pPr>
  </w:style>
  <w:style w:type="paragraph" w:styleId="7">
    <w:name w:val="Balloon Text"/>
    <w:basedOn w:val="1"/>
    <w:link w:val="31"/>
    <w:unhideWhenUsed/>
    <w:qFormat/>
    <w:uiPriority w:val="0"/>
    <w:rPr>
      <w:sz w:val="18"/>
      <w:szCs w:val="18"/>
    </w:rPr>
  </w:style>
  <w:style w:type="paragraph" w:styleId="8">
    <w:name w:val="footer"/>
    <w:basedOn w:val="1"/>
    <w:link w:val="29"/>
    <w:unhideWhenUsed/>
    <w:qFormat/>
    <w:uiPriority w:val="99"/>
    <w:pPr>
      <w:tabs>
        <w:tab w:val="center" w:pos="4153"/>
        <w:tab w:val="right" w:pos="8306"/>
      </w:tabs>
      <w:snapToGrid w:val="0"/>
      <w:jc w:val="left"/>
    </w:pPr>
    <w:rPr>
      <w:sz w:val="18"/>
      <w:szCs w:val="18"/>
    </w:rPr>
  </w:style>
  <w:style w:type="paragraph" w:styleId="9">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jc w:val="left"/>
    </w:pPr>
    <w:rPr>
      <w:rFonts w:ascii="宋体" w:hAnsi="宋体" w:eastAsia="宋体" w:cs="宋体"/>
      <w:kern w:val="0"/>
      <w:sz w:val="24"/>
      <w:szCs w:val="24"/>
    </w:rPr>
  </w:style>
  <w:style w:type="character" w:styleId="12">
    <w:name w:val="Strong"/>
    <w:basedOn w:val="11"/>
    <w:qFormat/>
    <w:uiPriority w:val="22"/>
    <w:rPr>
      <w:b/>
      <w:bCs/>
    </w:rPr>
  </w:style>
  <w:style w:type="character" w:styleId="13">
    <w:name w:val="FollowedHyperlink"/>
    <w:basedOn w:val="11"/>
    <w:semiHidden/>
    <w:unhideWhenUsed/>
    <w:qFormat/>
    <w:uiPriority w:val="99"/>
    <w:rPr>
      <w:color w:val="000000"/>
      <w:u w:val="none"/>
    </w:rPr>
  </w:style>
  <w:style w:type="character" w:styleId="14">
    <w:name w:val="Emphasis"/>
    <w:basedOn w:val="11"/>
    <w:qFormat/>
    <w:uiPriority w:val="0"/>
    <w:rPr>
      <w:i/>
      <w:iCs/>
    </w:rPr>
  </w:style>
  <w:style w:type="character" w:styleId="15">
    <w:name w:val="HTML Definition"/>
    <w:basedOn w:val="11"/>
    <w:semiHidden/>
    <w:unhideWhenUsed/>
    <w:qFormat/>
    <w:uiPriority w:val="99"/>
  </w:style>
  <w:style w:type="character" w:styleId="16">
    <w:name w:val="HTML Acronym"/>
    <w:basedOn w:val="11"/>
    <w:semiHidden/>
    <w:unhideWhenUsed/>
    <w:qFormat/>
    <w:uiPriority w:val="99"/>
  </w:style>
  <w:style w:type="character" w:styleId="17">
    <w:name w:val="HTML Variable"/>
    <w:basedOn w:val="11"/>
    <w:semiHidden/>
    <w:unhideWhenUsed/>
    <w:qFormat/>
    <w:uiPriority w:val="99"/>
  </w:style>
  <w:style w:type="character" w:styleId="18">
    <w:name w:val="Hyperlink"/>
    <w:basedOn w:val="11"/>
    <w:unhideWhenUsed/>
    <w:qFormat/>
    <w:uiPriority w:val="99"/>
    <w:rPr>
      <w:color w:val="0000FF"/>
      <w:u w:val="single"/>
    </w:rPr>
  </w:style>
  <w:style w:type="character" w:styleId="19">
    <w:name w:val="HTML Code"/>
    <w:basedOn w:val="11"/>
    <w:semiHidden/>
    <w:unhideWhenUsed/>
    <w:qFormat/>
    <w:uiPriority w:val="99"/>
    <w:rPr>
      <w:rFonts w:ascii="Courier New" w:hAnsi="Courier New"/>
      <w:sz w:val="20"/>
    </w:rPr>
  </w:style>
  <w:style w:type="character" w:styleId="20">
    <w:name w:val="annotation reference"/>
    <w:basedOn w:val="11"/>
    <w:semiHidden/>
    <w:unhideWhenUsed/>
    <w:qFormat/>
    <w:uiPriority w:val="99"/>
    <w:rPr>
      <w:sz w:val="21"/>
      <w:szCs w:val="21"/>
    </w:rPr>
  </w:style>
  <w:style w:type="character" w:styleId="21">
    <w:name w:val="HTML Cite"/>
    <w:basedOn w:val="11"/>
    <w:semiHidden/>
    <w:unhideWhenUsed/>
    <w:qFormat/>
    <w:uiPriority w:val="99"/>
  </w:style>
  <w:style w:type="character" w:styleId="22">
    <w:name w:val="HTML Keyboard"/>
    <w:basedOn w:val="11"/>
    <w:semiHidden/>
    <w:unhideWhenUsed/>
    <w:qFormat/>
    <w:uiPriority w:val="99"/>
    <w:rPr>
      <w:rFonts w:hint="default" w:ascii="serif" w:hAnsi="serif" w:eastAsia="serif" w:cs="serif"/>
      <w:sz w:val="21"/>
      <w:szCs w:val="21"/>
    </w:rPr>
  </w:style>
  <w:style w:type="character" w:styleId="23">
    <w:name w:val="HTML Sample"/>
    <w:basedOn w:val="11"/>
    <w:semiHidden/>
    <w:unhideWhenUsed/>
    <w:qFormat/>
    <w:uiPriority w:val="99"/>
    <w:rPr>
      <w:rFonts w:ascii="微软雅黑" w:hAnsi="微软雅黑" w:eastAsia="微软雅黑" w:cs="微软雅黑"/>
      <w:b/>
      <w:color w:val="322C2C"/>
      <w:spacing w:val="60"/>
      <w:sz w:val="24"/>
      <w:szCs w:val="24"/>
      <w:vertAlign w:val="baseline"/>
    </w:rPr>
  </w:style>
  <w:style w:type="paragraph" w:customStyle="1" w:styleId="25">
    <w:name w:val="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26">
    <w:name w:val="_Style 1"/>
    <w:basedOn w:val="1"/>
    <w:qFormat/>
    <w:uiPriority w:val="34"/>
    <w:pPr>
      <w:ind w:firstLine="420" w:firstLineChars="200"/>
    </w:pPr>
    <w:rPr>
      <w:rFonts w:ascii="Times New Roman" w:hAnsi="Times New Roman" w:eastAsia="宋体" w:cs="Times New Roman"/>
      <w:szCs w:val="20"/>
    </w:rPr>
  </w:style>
  <w:style w:type="character" w:customStyle="1" w:styleId="27">
    <w:name w:val="标题 3 字符"/>
    <w:basedOn w:val="11"/>
    <w:link w:val="4"/>
    <w:qFormat/>
    <w:uiPriority w:val="9"/>
    <w:rPr>
      <w:rFonts w:ascii="宋体" w:hAnsi="宋体" w:cs="宋体"/>
      <w:b/>
      <w:bCs/>
      <w:sz w:val="27"/>
      <w:szCs w:val="27"/>
    </w:rPr>
  </w:style>
  <w:style w:type="character" w:customStyle="1" w:styleId="28">
    <w:name w:val="页眉 字符"/>
    <w:basedOn w:val="11"/>
    <w:link w:val="9"/>
    <w:qFormat/>
    <w:uiPriority w:val="99"/>
    <w:rPr>
      <w:rFonts w:asciiTheme="minorHAnsi" w:hAnsiTheme="minorHAnsi" w:eastAsiaTheme="minorEastAsia"/>
      <w:kern w:val="2"/>
      <w:sz w:val="18"/>
      <w:szCs w:val="18"/>
    </w:rPr>
  </w:style>
  <w:style w:type="character" w:customStyle="1" w:styleId="29">
    <w:name w:val="页脚 字符"/>
    <w:basedOn w:val="11"/>
    <w:link w:val="8"/>
    <w:qFormat/>
    <w:uiPriority w:val="99"/>
    <w:rPr>
      <w:rFonts w:asciiTheme="minorHAnsi" w:hAnsiTheme="minorHAnsi" w:eastAsiaTheme="minorEastAsia"/>
      <w:kern w:val="2"/>
      <w:sz w:val="18"/>
      <w:szCs w:val="18"/>
    </w:rPr>
  </w:style>
  <w:style w:type="character" w:customStyle="1" w:styleId="30">
    <w:name w:val="标题 1 字符"/>
    <w:basedOn w:val="11"/>
    <w:link w:val="2"/>
    <w:qFormat/>
    <w:uiPriority w:val="9"/>
    <w:rPr>
      <w:rFonts w:asciiTheme="minorHAnsi" w:hAnsiTheme="minorHAnsi" w:eastAsiaTheme="minorEastAsia"/>
      <w:b/>
      <w:bCs/>
      <w:kern w:val="44"/>
      <w:sz w:val="44"/>
      <w:szCs w:val="44"/>
    </w:rPr>
  </w:style>
  <w:style w:type="character" w:customStyle="1" w:styleId="31">
    <w:name w:val="批注框文本 字符"/>
    <w:basedOn w:val="11"/>
    <w:link w:val="7"/>
    <w:qFormat/>
    <w:uiPriority w:val="0"/>
    <w:rPr>
      <w:rFonts w:asciiTheme="minorHAnsi" w:hAnsiTheme="minorHAnsi" w:eastAsiaTheme="minorEastAsia" w:cstheme="minorBidi"/>
      <w:kern w:val="2"/>
      <w:sz w:val="18"/>
      <w:szCs w:val="18"/>
    </w:rPr>
  </w:style>
  <w:style w:type="character" w:customStyle="1" w:styleId="32">
    <w:name w:val="批注文字 字符"/>
    <w:basedOn w:val="11"/>
    <w:link w:val="6"/>
    <w:qFormat/>
    <w:uiPriority w:val="99"/>
    <w:rPr>
      <w:rFonts w:asciiTheme="minorHAnsi" w:hAnsiTheme="minorHAnsi" w:eastAsiaTheme="minorEastAsia" w:cstheme="minorBidi"/>
      <w:kern w:val="2"/>
      <w:sz w:val="21"/>
      <w:szCs w:val="22"/>
    </w:rPr>
  </w:style>
  <w:style w:type="character" w:customStyle="1" w:styleId="33">
    <w:name w:val="批注主题 字符"/>
    <w:basedOn w:val="32"/>
    <w:link w:val="5"/>
    <w:semiHidden/>
    <w:qFormat/>
    <w:uiPriority w:val="99"/>
    <w:rPr>
      <w:rFonts w:asciiTheme="minorHAnsi" w:hAnsiTheme="minorHAnsi" w:eastAsiaTheme="minorEastAsia" w:cstheme="minorBidi"/>
      <w:b/>
      <w:bCs/>
      <w:kern w:val="2"/>
      <w:sz w:val="21"/>
      <w:szCs w:val="22"/>
    </w:rPr>
  </w:style>
  <w:style w:type="character" w:customStyle="1" w:styleId="34">
    <w:name w:val="ask-title"/>
    <w:basedOn w:val="11"/>
    <w:qFormat/>
    <w:uiPriority w:val="0"/>
  </w:style>
  <w:style w:type="paragraph" w:customStyle="1" w:styleId="35">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36">
    <w:name w:val="t_tag"/>
    <w:basedOn w:val="11"/>
    <w:qFormat/>
    <w:uiPriority w:val="0"/>
  </w:style>
  <w:style w:type="character" w:customStyle="1" w:styleId="37">
    <w:name w:val="new_laigao"/>
    <w:basedOn w:val="11"/>
    <w:qFormat/>
    <w:uiPriority w:val="0"/>
  </w:style>
  <w:style w:type="character" w:customStyle="1" w:styleId="38">
    <w:name w:val="faburen"/>
    <w:basedOn w:val="11"/>
    <w:qFormat/>
    <w:uiPriority w:val="0"/>
  </w:style>
  <w:style w:type="character" w:customStyle="1" w:styleId="39">
    <w:name w:val="pagination-last"/>
    <w:basedOn w:val="11"/>
    <w:qFormat/>
    <w:uiPriority w:val="0"/>
    <w:rPr>
      <w:color w:val="333333"/>
    </w:rPr>
  </w:style>
  <w:style w:type="character" w:customStyle="1" w:styleId="40">
    <w:name w:val="bsharetext"/>
    <w:basedOn w:val="11"/>
    <w:qFormat/>
    <w:uiPriority w:val="0"/>
  </w:style>
  <w:style w:type="character" w:customStyle="1" w:styleId="41">
    <w:name w:val="c-icon"/>
    <w:basedOn w:val="11"/>
    <w:qFormat/>
    <w:uiPriority w:val="0"/>
  </w:style>
  <w:style w:type="character" w:customStyle="1" w:styleId="42">
    <w:name w:val="c-icon14"/>
    <w:basedOn w:val="11"/>
    <w:qFormat/>
    <w:uiPriority w:val="0"/>
  </w:style>
  <w:style w:type="character" w:customStyle="1" w:styleId="43">
    <w:name w:val="before"/>
    <w:basedOn w:val="11"/>
    <w:qFormat/>
    <w:uiPriority w:val="0"/>
    <w:rPr>
      <w:color w:val="999999"/>
    </w:rPr>
  </w:style>
  <w:style w:type="character" w:customStyle="1" w:styleId="44">
    <w:name w:val="more"/>
    <w:basedOn w:val="11"/>
    <w:qFormat/>
    <w:uiPriority w:val="0"/>
    <w:rPr>
      <w:color w:val="FFFFFF"/>
      <w:shd w:val="clear" w:color="auto" w:fill="E56413"/>
    </w:rPr>
  </w:style>
  <w:style w:type="character" w:customStyle="1" w:styleId="45">
    <w:name w:val="more1"/>
    <w:basedOn w:val="11"/>
    <w:qFormat/>
    <w:uiPriority w:val="0"/>
  </w:style>
  <w:style w:type="character" w:customStyle="1" w:styleId="46">
    <w:name w:val="w5"/>
    <w:basedOn w:val="11"/>
    <w:qFormat/>
    <w:uiPriority w:val="0"/>
  </w:style>
  <w:style w:type="character" w:customStyle="1" w:styleId="47">
    <w:name w:val="before2"/>
    <w:basedOn w:val="11"/>
    <w:qFormat/>
    <w:uiPriority w:val="0"/>
    <w:rPr>
      <w:color w:val="999999"/>
    </w:rPr>
  </w:style>
  <w:style w:type="character" w:customStyle="1" w:styleId="48">
    <w:name w:val="more3"/>
    <w:basedOn w:val="11"/>
    <w:qFormat/>
    <w:uiPriority w:val="0"/>
  </w:style>
  <w:style w:type="character" w:customStyle="1" w:styleId="49">
    <w:name w:val="prev"/>
    <w:basedOn w:val="11"/>
    <w:qFormat/>
    <w:uiPriority w:val="0"/>
  </w:style>
  <w:style w:type="character" w:customStyle="1" w:styleId="50">
    <w:name w:val="time"/>
    <w:basedOn w:val="11"/>
    <w:qFormat/>
    <w:uiPriority w:val="0"/>
    <w:rPr>
      <w:color w:val="999999"/>
    </w:rPr>
  </w:style>
  <w:style w:type="character" w:customStyle="1" w:styleId="51">
    <w:name w:val="time1"/>
    <w:basedOn w:val="11"/>
    <w:qFormat/>
    <w:uiPriority w:val="0"/>
    <w:rPr>
      <w:color w:val="999999"/>
    </w:rPr>
  </w:style>
  <w:style w:type="character" w:customStyle="1" w:styleId="52">
    <w:name w:val="time2"/>
    <w:basedOn w:val="11"/>
    <w:qFormat/>
    <w:uiPriority w:val="0"/>
    <w:rPr>
      <w:color w:val="999999"/>
    </w:rPr>
  </w:style>
  <w:style w:type="character" w:customStyle="1" w:styleId="53">
    <w:name w:val="time3"/>
    <w:basedOn w:val="11"/>
    <w:qFormat/>
    <w:uiPriority w:val="0"/>
    <w:rPr>
      <w:color w:val="999999"/>
    </w:rPr>
  </w:style>
  <w:style w:type="character" w:customStyle="1" w:styleId="54">
    <w:name w:val="time4"/>
    <w:basedOn w:val="11"/>
    <w:qFormat/>
    <w:uiPriority w:val="0"/>
    <w:rPr>
      <w:color w:val="999999"/>
    </w:rPr>
  </w:style>
  <w:style w:type="character" w:customStyle="1" w:styleId="55">
    <w:name w:val="hover10"/>
    <w:basedOn w:val="11"/>
    <w:qFormat/>
    <w:uiPriority w:val="0"/>
    <w:rPr>
      <w:u w:val="single"/>
    </w:rPr>
  </w:style>
  <w:style w:type="character" w:customStyle="1" w:styleId="56">
    <w:name w:val="disabled"/>
    <w:basedOn w:val="11"/>
    <w:qFormat/>
    <w:uiPriority w:val="0"/>
    <w:rPr>
      <w:color w:val="CCCCCC"/>
      <w:bdr w:val="single" w:color="F3F3F3" w:sz="6" w:space="0"/>
    </w:rPr>
  </w:style>
  <w:style w:type="character" w:customStyle="1" w:styleId="57">
    <w:name w:val="disabled1"/>
    <w:basedOn w:val="11"/>
    <w:qFormat/>
    <w:uiPriority w:val="0"/>
    <w:rPr>
      <w:vanish/>
    </w:rPr>
  </w:style>
  <w:style w:type="character" w:customStyle="1" w:styleId="58">
    <w:name w:val="ui-list-item-text"/>
    <w:basedOn w:val="11"/>
    <w:qFormat/>
    <w:uiPriority w:val="0"/>
    <w:rPr>
      <w:sz w:val="18"/>
      <w:szCs w:val="18"/>
    </w:rPr>
  </w:style>
  <w:style w:type="character" w:customStyle="1" w:styleId="59">
    <w:name w:val="current"/>
    <w:basedOn w:val="11"/>
    <w:qFormat/>
    <w:uiPriority w:val="0"/>
    <w:rPr>
      <w:b/>
      <w:color w:val="FFFFFF"/>
      <w:bdr w:val="single" w:color="AAD83E" w:sz="6" w:space="0"/>
      <w:shd w:val="clear" w:color="auto" w:fill="AAD83E"/>
    </w:rPr>
  </w:style>
  <w:style w:type="character" w:customStyle="1" w:styleId="60">
    <w:name w:val="current1"/>
    <w:basedOn w:val="11"/>
    <w:qFormat/>
    <w:uiPriority w:val="0"/>
    <w:rPr>
      <w:b/>
      <w:color w:val="000000"/>
      <w:bdr w:val="single" w:color="FFFFFF" w:sz="12" w:space="0"/>
    </w:rPr>
  </w:style>
  <w:style w:type="character" w:customStyle="1" w:styleId="61">
    <w:name w:val="current2"/>
    <w:basedOn w:val="11"/>
    <w:qFormat/>
    <w:uiPriority w:val="0"/>
    <w:rPr>
      <w:b/>
      <w:color w:val="FF6500"/>
      <w:bdr w:val="single" w:color="FF6500" w:sz="6" w:space="0"/>
      <w:shd w:val="clear" w:color="auto" w:fill="FFBE94"/>
    </w:rPr>
  </w:style>
  <w:style w:type="character" w:customStyle="1" w:styleId="62">
    <w:name w:val="current3"/>
    <w:basedOn w:val="11"/>
    <w:qFormat/>
    <w:uiPriority w:val="0"/>
    <w:rPr>
      <w:b/>
      <w:color w:val="99210B"/>
    </w:rPr>
  </w:style>
  <w:style w:type="character" w:customStyle="1" w:styleId="63">
    <w:name w:val="current4"/>
    <w:basedOn w:val="11"/>
    <w:qFormat/>
    <w:uiPriority w:val="0"/>
    <w:rPr>
      <w:b/>
      <w:color w:val="000000"/>
    </w:rPr>
  </w:style>
  <w:style w:type="character" w:customStyle="1" w:styleId="64">
    <w:name w:val="current5"/>
    <w:basedOn w:val="11"/>
    <w:qFormat/>
    <w:uiPriority w:val="0"/>
    <w:rPr>
      <w:b/>
      <w:color w:val="FFFFFF"/>
      <w:bdr w:val="single" w:color="B2E05D" w:sz="6" w:space="0"/>
      <w:shd w:val="clear" w:color="auto" w:fill="B2E05D"/>
    </w:rPr>
  </w:style>
  <w:style w:type="character" w:customStyle="1" w:styleId="65">
    <w:name w:val="current6"/>
    <w:basedOn w:val="11"/>
    <w:qFormat/>
    <w:uiPriority w:val="0"/>
    <w:rPr>
      <w:b/>
      <w:color w:val="000000"/>
    </w:rPr>
  </w:style>
  <w:style w:type="character" w:customStyle="1" w:styleId="66">
    <w:name w:val="current7"/>
    <w:basedOn w:val="11"/>
    <w:qFormat/>
    <w:uiPriority w:val="0"/>
    <w:rPr>
      <w:b/>
      <w:color w:val="303030"/>
      <w:shd w:val="clear" w:color="auto" w:fill="FFFFFF"/>
    </w:rPr>
  </w:style>
  <w:style w:type="character" w:customStyle="1" w:styleId="67">
    <w:name w:val="current8"/>
    <w:basedOn w:val="11"/>
    <w:qFormat/>
    <w:uiPriority w:val="0"/>
    <w:rPr>
      <w:b/>
      <w:color w:val="FFFFFF"/>
      <w:bdr w:val="single" w:color="D9D300" w:sz="6" w:space="0"/>
      <w:shd w:val="clear" w:color="auto" w:fill="D9D300"/>
    </w:rPr>
  </w:style>
  <w:style w:type="character" w:customStyle="1" w:styleId="68">
    <w:name w:val="current9"/>
    <w:basedOn w:val="11"/>
    <w:qFormat/>
    <w:uiPriority w:val="0"/>
    <w:rPr>
      <w:b/>
      <w:color w:val="AAAAAA"/>
      <w:bdr w:val="single" w:color="E0E0E0" w:sz="6" w:space="0"/>
      <w:shd w:val="clear" w:color="auto" w:fill="F0F0F0"/>
    </w:rPr>
  </w:style>
  <w:style w:type="character" w:customStyle="1" w:styleId="69">
    <w:name w:val="current10"/>
    <w:basedOn w:val="11"/>
    <w:qFormat/>
    <w:uiPriority w:val="0"/>
    <w:rPr>
      <w:b/>
      <w:color w:val="FFFFFF"/>
      <w:bdr w:val="single" w:color="0070C0" w:sz="6" w:space="0"/>
      <w:shd w:val="clear" w:color="auto" w:fill="0070C0"/>
    </w:rPr>
  </w:style>
  <w:style w:type="character" w:customStyle="1" w:styleId="70">
    <w:name w:val="current11"/>
    <w:basedOn w:val="11"/>
    <w:qFormat/>
    <w:uiPriority w:val="0"/>
    <w:rPr>
      <w:b/>
      <w:color w:val="000000"/>
      <w:bdr w:val="single" w:color="FFFFFF" w:sz="6" w:space="0"/>
      <w:shd w:val="clear" w:color="auto" w:fill="FFFFFF"/>
    </w:rPr>
  </w:style>
  <w:style w:type="character" w:customStyle="1" w:styleId="71">
    <w:name w:val="current12"/>
    <w:basedOn w:val="11"/>
    <w:qFormat/>
    <w:uiPriority w:val="0"/>
    <w:rPr>
      <w:b/>
      <w:color w:val="FF0084"/>
    </w:rPr>
  </w:style>
  <w:style w:type="character" w:customStyle="1" w:styleId="72">
    <w:name w:val="current13"/>
    <w:basedOn w:val="11"/>
    <w:qFormat/>
    <w:uiPriority w:val="0"/>
    <w:rPr>
      <w:b/>
      <w:color w:val="FFFFFF"/>
      <w:bdr w:val="single" w:color="000080" w:sz="6" w:space="0"/>
      <w:shd w:val="clear" w:color="auto" w:fill="2E6AB1"/>
    </w:rPr>
  </w:style>
  <w:style w:type="character" w:customStyle="1" w:styleId="73">
    <w:name w:val="current14"/>
    <w:basedOn w:val="11"/>
    <w:qFormat/>
    <w:uiPriority w:val="0"/>
    <w:rPr>
      <w:b/>
      <w:color w:val="FFFFFF"/>
      <w:bdr w:val="single" w:color="FFFFFF" w:sz="6" w:space="0"/>
      <w:shd w:val="clear" w:color="auto" w:fill="606060"/>
    </w:rPr>
  </w:style>
  <w:style w:type="character" w:customStyle="1" w:styleId="74">
    <w:name w:val="current15"/>
    <w:basedOn w:val="11"/>
    <w:qFormat/>
    <w:uiPriority w:val="0"/>
    <w:rPr>
      <w:b/>
      <w:color w:val="FFFFFF"/>
      <w:bdr w:val="single" w:color="000000" w:sz="6" w:space="0"/>
      <w:shd w:val="clear" w:color="auto" w:fill="000000"/>
    </w:rPr>
  </w:style>
  <w:style w:type="character" w:customStyle="1" w:styleId="75">
    <w:name w:val="current16"/>
    <w:basedOn w:val="11"/>
    <w:qFormat/>
    <w:uiPriority w:val="0"/>
    <w:rPr>
      <w:b/>
      <w:color w:val="FFFFFF"/>
      <w:shd w:val="clear" w:color="auto" w:fill="313131"/>
    </w:rPr>
  </w:style>
  <w:style w:type="character" w:customStyle="1" w:styleId="76">
    <w:name w:val="current17"/>
    <w:basedOn w:val="11"/>
    <w:qFormat/>
    <w:uiPriority w:val="0"/>
    <w:rPr>
      <w:color w:val="6D643C"/>
      <w:shd w:val="clear" w:color="auto" w:fill="F6EFCC"/>
    </w:rPr>
  </w:style>
  <w:style w:type="character" w:customStyle="1" w:styleId="77">
    <w:name w:val="current18"/>
    <w:basedOn w:val="11"/>
    <w:qFormat/>
    <w:uiPriority w:val="0"/>
    <w:rPr>
      <w:b/>
      <w:color w:val="FFFFFF"/>
      <w:shd w:val="clear" w:color="auto" w:fill="000000"/>
    </w:rPr>
  </w:style>
  <w:style w:type="character" w:customStyle="1" w:styleId="78">
    <w:name w:val="current19"/>
    <w:basedOn w:val="11"/>
    <w:qFormat/>
    <w:uiPriority w:val="0"/>
    <w:rPr>
      <w:color w:val="000000"/>
      <w:shd w:val="clear" w:color="auto" w:fill="FFFFFF"/>
    </w:rPr>
  </w:style>
  <w:style w:type="character" w:customStyle="1" w:styleId="79">
    <w:name w:val="current20"/>
    <w:basedOn w:val="11"/>
    <w:qFormat/>
    <w:uiPriority w:val="0"/>
    <w:rPr>
      <w:b/>
      <w:color w:val="444444"/>
      <w:bdr w:val="single" w:color="B7D8EE" w:sz="6" w:space="0"/>
      <w:shd w:val="clear" w:color="auto" w:fill="D2EAF6"/>
    </w:rPr>
  </w:style>
  <w:style w:type="character" w:customStyle="1" w:styleId="80">
    <w:name w:val="current21"/>
    <w:basedOn w:val="11"/>
    <w:qFormat/>
    <w:uiPriority w:val="0"/>
    <w:rPr>
      <w:b/>
      <w:color w:val="FFFFFF"/>
      <w:bdr w:val="single" w:color="FF5A00" w:sz="12" w:space="0"/>
      <w:shd w:val="clear" w:color="auto" w:fill="FF6C16"/>
    </w:rPr>
  </w:style>
  <w:style w:type="character" w:customStyle="1" w:styleId="81">
    <w:name w:val="current22"/>
    <w:basedOn w:val="11"/>
    <w:qFormat/>
    <w:uiPriority w:val="0"/>
    <w:rPr>
      <w:b/>
      <w:color w:val="000000"/>
      <w:bdr w:val="single" w:color="E89954" w:sz="6" w:space="0"/>
      <w:shd w:val="clear" w:color="auto" w:fill="FFCA7D"/>
    </w:rPr>
  </w:style>
  <w:style w:type="character" w:customStyle="1" w:styleId="82">
    <w:name w:val="login-name"/>
    <w:basedOn w:val="11"/>
    <w:qFormat/>
    <w:uiPriority w:val="0"/>
    <w:rPr>
      <w:color w:val="003366"/>
    </w:rPr>
  </w:style>
  <w:style w:type="character" w:customStyle="1" w:styleId="83">
    <w:name w:val="login-name1"/>
    <w:basedOn w:val="11"/>
    <w:qFormat/>
    <w:uiPriority w:val="0"/>
    <w:rPr>
      <w:color w:val="003366"/>
    </w:rPr>
  </w:style>
  <w:style w:type="character" w:customStyle="1" w:styleId="84">
    <w:name w:val="ui-head"/>
    <w:basedOn w:val="11"/>
    <w:qFormat/>
    <w:uiPriority w:val="0"/>
  </w:style>
  <w:style w:type="character" w:customStyle="1" w:styleId="85">
    <w:name w:val="nofile"/>
    <w:basedOn w:val="11"/>
    <w:qFormat/>
    <w:uiPriority w:val="0"/>
    <w:rPr>
      <w:color w:val="999999"/>
    </w:rPr>
  </w:style>
  <w:style w:type="character" w:customStyle="1" w:styleId="86">
    <w:name w:val="disabled2"/>
    <w:basedOn w:val="11"/>
    <w:qFormat/>
    <w:uiPriority w:val="0"/>
    <w:rPr>
      <w:vanish/>
    </w:rPr>
  </w:style>
  <w:style w:type="character" w:customStyle="1" w:styleId="87">
    <w:name w:val="disabled3"/>
    <w:basedOn w:val="11"/>
    <w:qFormat/>
    <w:uiPriority w:val="0"/>
    <w:rPr>
      <w:color w:val="CCCCCC"/>
      <w:bdr w:val="single" w:color="F3F3F3" w:sz="6" w:space="0"/>
    </w:rPr>
  </w:style>
  <w:style w:type="character" w:customStyle="1" w:styleId="88">
    <w:name w:val="disabled4"/>
    <w:basedOn w:val="11"/>
    <w:qFormat/>
    <w:uiPriority w:val="0"/>
    <w:rPr>
      <w:color w:val="868686"/>
      <w:shd w:val="clear" w:color="auto" w:fill="3E3E3E"/>
    </w:rPr>
  </w:style>
  <w:style w:type="character" w:customStyle="1" w:styleId="89">
    <w:name w:val="disabled5"/>
    <w:basedOn w:val="11"/>
    <w:qFormat/>
    <w:uiPriority w:val="0"/>
    <w:rPr>
      <w:bdr w:val="single" w:color="606060" w:sz="6" w:space="0"/>
    </w:rPr>
  </w:style>
  <w:style w:type="character" w:customStyle="1" w:styleId="90">
    <w:name w:val="disabled6"/>
    <w:basedOn w:val="11"/>
    <w:qFormat/>
    <w:uiPriority w:val="0"/>
    <w:rPr>
      <w:color w:val="797979"/>
      <w:shd w:val="clear" w:color="auto" w:fill="C1C1C1"/>
    </w:rPr>
  </w:style>
  <w:style w:type="character" w:customStyle="1" w:styleId="91">
    <w:name w:val="disabled7"/>
    <w:basedOn w:val="11"/>
    <w:qFormat/>
    <w:uiPriority w:val="0"/>
    <w:rPr>
      <w:vanish/>
    </w:rPr>
  </w:style>
  <w:style w:type="character" w:customStyle="1" w:styleId="92">
    <w:name w:val="disabled8"/>
    <w:basedOn w:val="11"/>
    <w:qFormat/>
    <w:uiPriority w:val="0"/>
    <w:rPr>
      <w:vanish/>
    </w:rPr>
  </w:style>
  <w:style w:type="character" w:customStyle="1" w:styleId="93">
    <w:name w:val="disabled9"/>
    <w:basedOn w:val="11"/>
    <w:qFormat/>
    <w:uiPriority w:val="0"/>
    <w:rPr>
      <w:color w:val="CCCCCC"/>
      <w:bdr w:val="single" w:color="F3F3F3" w:sz="6" w:space="0"/>
    </w:rPr>
  </w:style>
  <w:style w:type="character" w:customStyle="1" w:styleId="94">
    <w:name w:val="disabled10"/>
    <w:basedOn w:val="11"/>
    <w:qFormat/>
    <w:uiPriority w:val="0"/>
    <w:rPr>
      <w:color w:val="DDDDDD"/>
      <w:bdr w:val="single" w:color="EEEEEE" w:sz="6" w:space="0"/>
    </w:rPr>
  </w:style>
  <w:style w:type="character" w:customStyle="1" w:styleId="95">
    <w:name w:val="disabled11"/>
    <w:basedOn w:val="11"/>
    <w:qFormat/>
    <w:uiPriority w:val="0"/>
    <w:rPr>
      <w:color w:val="FFE3C6"/>
      <w:bdr w:val="single" w:color="FFE3C6" w:sz="6" w:space="0"/>
    </w:rPr>
  </w:style>
  <w:style w:type="character" w:customStyle="1" w:styleId="96">
    <w:name w:val="disabled12"/>
    <w:basedOn w:val="11"/>
    <w:qFormat/>
    <w:uiPriority w:val="0"/>
    <w:rPr>
      <w:color w:val="ADAAAD"/>
    </w:rPr>
  </w:style>
  <w:style w:type="character" w:customStyle="1" w:styleId="97">
    <w:name w:val="disabled13"/>
    <w:basedOn w:val="11"/>
    <w:qFormat/>
    <w:uiPriority w:val="0"/>
    <w:rPr>
      <w:bdr w:val="single" w:color="929292" w:sz="6" w:space="0"/>
    </w:rPr>
  </w:style>
  <w:style w:type="character" w:customStyle="1" w:styleId="98">
    <w:name w:val="disabled14"/>
    <w:basedOn w:val="11"/>
    <w:qFormat/>
    <w:uiPriority w:val="0"/>
    <w:rPr>
      <w:color w:val="DDDDDD"/>
      <w:bdr w:val="single" w:color="EEEEEE" w:sz="6" w:space="0"/>
    </w:rPr>
  </w:style>
  <w:style w:type="character" w:customStyle="1" w:styleId="99">
    <w:name w:val="disabled15"/>
    <w:basedOn w:val="11"/>
    <w:qFormat/>
    <w:uiPriority w:val="0"/>
    <w:rPr>
      <w:color w:val="DDDDDD"/>
      <w:bdr w:val="single" w:color="EEEEEE" w:sz="6" w:space="0"/>
    </w:rPr>
  </w:style>
  <w:style w:type="character" w:customStyle="1" w:styleId="100">
    <w:name w:val="disabled16"/>
    <w:basedOn w:val="11"/>
    <w:qFormat/>
    <w:uiPriority w:val="0"/>
    <w:rPr>
      <w:vanish/>
    </w:rPr>
  </w:style>
  <w:style w:type="character" w:customStyle="1" w:styleId="101">
    <w:name w:val="disabled17"/>
    <w:basedOn w:val="11"/>
    <w:qFormat/>
    <w:uiPriority w:val="0"/>
    <w:rPr>
      <w:color w:val="444444"/>
      <w:shd w:val="clear" w:color="auto" w:fill="000000"/>
    </w:rPr>
  </w:style>
  <w:style w:type="character" w:customStyle="1" w:styleId="102">
    <w:name w:val="disabled18"/>
    <w:basedOn w:val="11"/>
    <w:qFormat/>
    <w:uiPriority w:val="0"/>
    <w:rPr>
      <w:color w:val="ADAAAD"/>
    </w:rPr>
  </w:style>
  <w:style w:type="character" w:customStyle="1" w:styleId="103">
    <w:name w:val="disabled19"/>
    <w:basedOn w:val="11"/>
    <w:qFormat/>
    <w:uiPriority w:val="0"/>
    <w:rPr>
      <w:color w:val="CCCCCC"/>
      <w:bdr w:val="single" w:color="CCCCCC" w:sz="6" w:space="0"/>
    </w:rPr>
  </w:style>
  <w:style w:type="character" w:customStyle="1" w:styleId="104">
    <w:name w:val="disabled20"/>
    <w:basedOn w:val="11"/>
    <w:qFormat/>
    <w:uiPriority w:val="0"/>
    <w:rPr>
      <w:vanish/>
    </w:rPr>
  </w:style>
  <w:style w:type="character" w:customStyle="1" w:styleId="105">
    <w:name w:val="disabled21"/>
    <w:basedOn w:val="11"/>
    <w:qFormat/>
    <w:uiPriority w:val="0"/>
    <w:rPr>
      <w:color w:val="CCCCCC"/>
      <w:bdr w:val="single" w:color="F3F3F3" w:sz="6" w:space="0"/>
    </w:rPr>
  </w:style>
  <w:style w:type="character" w:customStyle="1" w:styleId="106">
    <w:name w:val="disabled22"/>
    <w:basedOn w:val="11"/>
    <w:qFormat/>
    <w:uiPriority w:val="0"/>
    <w:rPr>
      <w:vanish/>
    </w:rPr>
  </w:style>
  <w:style w:type="character" w:customStyle="1" w:styleId="107">
    <w:name w:val="before1"/>
    <w:basedOn w:val="11"/>
    <w:qFormat/>
    <w:uiPriority w:val="0"/>
  </w:style>
  <w:style w:type="character" w:customStyle="1" w:styleId="108">
    <w:name w:val="before3"/>
    <w:basedOn w:val="11"/>
    <w:qFormat/>
    <w:uiPriority w:val="0"/>
  </w:style>
  <w:style w:type="character" w:customStyle="1" w:styleId="109">
    <w:name w:val="before4"/>
    <w:basedOn w:val="11"/>
    <w:qFormat/>
    <w:uiPriority w:val="0"/>
  </w:style>
  <w:style w:type="character" w:customStyle="1" w:styleId="110">
    <w:name w:val="before5"/>
    <w:basedOn w:val="11"/>
    <w:qFormat/>
    <w:uiPriority w:val="0"/>
  </w:style>
  <w:style w:type="character" w:customStyle="1" w:styleId="111">
    <w:name w:val="before6"/>
    <w:basedOn w:val="11"/>
    <w:qFormat/>
    <w:uiPriority w:val="0"/>
  </w:style>
  <w:style w:type="character" w:customStyle="1" w:styleId="112">
    <w:name w:val="before7"/>
    <w:basedOn w:val="11"/>
    <w:qFormat/>
    <w:uiPriority w:val="0"/>
  </w:style>
  <w:style w:type="character" w:customStyle="1" w:styleId="113">
    <w:name w:val="before8"/>
    <w:basedOn w:val="11"/>
    <w:qFormat/>
    <w:uiPriority w:val="0"/>
  </w:style>
  <w:style w:type="character" w:customStyle="1" w:styleId="114">
    <w:name w:val="before9"/>
    <w:basedOn w:val="11"/>
    <w:qFormat/>
    <w:uiPriority w:val="0"/>
  </w:style>
  <w:style w:type="character" w:customStyle="1" w:styleId="115">
    <w:name w:val="before10"/>
    <w:basedOn w:val="11"/>
    <w:qFormat/>
    <w:uiPriority w:val="0"/>
  </w:style>
  <w:style w:type="character" w:customStyle="1" w:styleId="116">
    <w:name w:val="before11"/>
    <w:basedOn w:val="11"/>
    <w:qFormat/>
    <w:uiPriority w:val="0"/>
  </w:style>
  <w:style w:type="character" w:customStyle="1" w:styleId="117">
    <w:name w:val="before12"/>
    <w:basedOn w:val="11"/>
    <w:qFormat/>
    <w:uiPriority w:val="0"/>
  </w:style>
  <w:style w:type="character" w:customStyle="1" w:styleId="118">
    <w:name w:val="before13"/>
    <w:basedOn w:val="11"/>
    <w:qFormat/>
    <w:uiPriority w:val="0"/>
  </w:style>
  <w:style w:type="character" w:customStyle="1" w:styleId="119">
    <w:name w:val="before14"/>
    <w:basedOn w:val="11"/>
    <w:qFormat/>
    <w:uiPriority w:val="0"/>
  </w:style>
  <w:style w:type="character" w:customStyle="1" w:styleId="120">
    <w:name w:val="before15"/>
    <w:basedOn w:val="11"/>
    <w:qFormat/>
    <w:uiPriority w:val="0"/>
  </w:style>
  <w:style w:type="character" w:customStyle="1" w:styleId="121">
    <w:name w:val="tzp"/>
    <w:basedOn w:val="11"/>
    <w:qFormat/>
    <w:uiPriority w:val="0"/>
  </w:style>
  <w:style w:type="character" w:customStyle="1" w:styleId="122">
    <w:name w:val="user"/>
    <w:basedOn w:val="11"/>
    <w:qFormat/>
    <w:uiPriority w:val="0"/>
  </w:style>
  <w:style w:type="paragraph" w:styleId="123">
    <w:name w:val="List Paragraph"/>
    <w:basedOn w:val="1"/>
    <w:qFormat/>
    <w:uiPriority w:val="34"/>
    <w:pPr>
      <w:ind w:firstLine="420" w:firstLineChars="200"/>
    </w:pPr>
  </w:style>
  <w:style w:type="character" w:customStyle="1" w:styleId="124">
    <w:name w:val="layui-layer-tabnow"/>
    <w:basedOn w:val="11"/>
    <w:qFormat/>
    <w:uiPriority w:val="0"/>
    <w:rPr>
      <w:bdr w:val="single" w:color="CCCCCC" w:sz="6" w:space="0"/>
      <w:shd w:val="clear" w:color="auto" w:fill="FFFFFF"/>
    </w:rPr>
  </w:style>
  <w:style w:type="character" w:customStyle="1" w:styleId="125">
    <w:name w:val="iconfont1"/>
    <w:basedOn w:val="11"/>
    <w:qFormat/>
    <w:uiPriority w:val="0"/>
    <w:rPr>
      <w:color w:val="EE8000"/>
    </w:rPr>
  </w:style>
  <w:style w:type="character" w:customStyle="1" w:styleId="126">
    <w:name w:val="iconfont2"/>
    <w:basedOn w:val="11"/>
    <w:qFormat/>
    <w:uiPriority w:val="0"/>
    <w:rPr>
      <w:sz w:val="40"/>
      <w:szCs w:val="40"/>
    </w:rPr>
  </w:style>
  <w:style w:type="character" w:customStyle="1" w:styleId="127">
    <w:name w:val="iconfont3"/>
    <w:basedOn w:val="11"/>
    <w:qFormat/>
    <w:uiPriority w:val="0"/>
  </w:style>
  <w:style w:type="character" w:customStyle="1" w:styleId="128">
    <w:name w:val="iconfont4"/>
    <w:basedOn w:val="11"/>
    <w:qFormat/>
    <w:uiPriority w:val="0"/>
    <w:rPr>
      <w:sz w:val="30"/>
      <w:szCs w:val="30"/>
    </w:rPr>
  </w:style>
  <w:style w:type="character" w:customStyle="1" w:styleId="129">
    <w:name w:val="iconfont5"/>
    <w:basedOn w:val="11"/>
    <w:qFormat/>
    <w:uiPriority w:val="0"/>
    <w:rPr>
      <w:color w:val="FFFFFF"/>
      <w:sz w:val="90"/>
      <w:szCs w:val="90"/>
    </w:rPr>
  </w:style>
  <w:style w:type="character" w:customStyle="1" w:styleId="130">
    <w:name w:val="iconfont6"/>
    <w:basedOn w:val="11"/>
    <w:qFormat/>
    <w:uiPriority w:val="0"/>
    <w:rPr>
      <w:color w:val="AAAAAA"/>
      <w:sz w:val="28"/>
      <w:szCs w:val="28"/>
    </w:rPr>
  </w:style>
  <w:style w:type="character" w:customStyle="1" w:styleId="131">
    <w:name w:val="syh"/>
    <w:basedOn w:val="11"/>
    <w:qFormat/>
    <w:uiPriority w:val="0"/>
  </w:style>
  <w:style w:type="character" w:customStyle="1" w:styleId="132">
    <w:name w:val="on"/>
    <w:basedOn w:val="11"/>
    <w:qFormat/>
    <w:uiPriority w:val="0"/>
    <w:rPr>
      <w:color w:val="FFFFFF"/>
      <w:shd w:val="clear" w:color="auto" w:fill="4A9AF3"/>
    </w:rPr>
  </w:style>
  <w:style w:type="character" w:customStyle="1" w:styleId="133">
    <w:name w:val="mc"/>
    <w:basedOn w:val="11"/>
    <w:qFormat/>
    <w:uiPriority w:val="0"/>
  </w:style>
  <w:style w:type="character" w:customStyle="1" w:styleId="134">
    <w:name w:val="first-child"/>
    <w:basedOn w:val="11"/>
    <w:qFormat/>
    <w:uiPriority w:val="0"/>
  </w:style>
  <w:style w:type="character" w:customStyle="1" w:styleId="135">
    <w:name w:val="p2"/>
    <w:basedOn w:val="11"/>
    <w:qFormat/>
    <w:uiPriority w:val="0"/>
    <w:rPr>
      <w:color w:val="EB9519"/>
      <w:shd w:val="clear" w:color="auto" w:fill="FFF0CB"/>
    </w:rPr>
  </w:style>
  <w:style w:type="character" w:customStyle="1" w:styleId="136">
    <w:name w:val="xh"/>
    <w:basedOn w:val="11"/>
    <w:qFormat/>
    <w:uiPriority w:val="0"/>
  </w:style>
  <w:style w:type="character" w:customStyle="1" w:styleId="137">
    <w:name w:val="fwrq"/>
    <w:basedOn w:val="11"/>
    <w:qFormat/>
    <w:uiPriority w:val="0"/>
  </w:style>
  <w:style w:type="paragraph" w:customStyle="1" w:styleId="138">
    <w:name w:val="Char Char Char Char Char Char1"/>
    <w:basedOn w:val="1"/>
    <w:qFormat/>
    <w:uiPriority w:val="0"/>
    <w:pPr>
      <w:widowControl/>
      <w:spacing w:after="160" w:line="240" w:lineRule="exact"/>
      <w:jc w:val="left"/>
    </w:pPr>
    <w:rPr>
      <w:rFonts w:ascii="Times New Roman" w:hAnsi="Times New Roman" w:eastAsia="仿宋_GB2312" w:cs="Times New Roman"/>
      <w:sz w:val="24"/>
      <w:szCs w:val="24"/>
    </w:rPr>
  </w:style>
  <w:style w:type="paragraph" w:customStyle="1" w:styleId="139">
    <w:name w:val="Char Char Char Char Char Char11"/>
    <w:basedOn w:val="1"/>
    <w:qFormat/>
    <w:uiPriority w:val="0"/>
    <w:pPr>
      <w:widowControl/>
      <w:spacing w:after="160" w:line="240" w:lineRule="exact"/>
      <w:jc w:val="left"/>
    </w:pPr>
    <w:rPr>
      <w:rFonts w:ascii="Times New Roman" w:hAnsi="Times New Roman" w:eastAsia="仿宋_GB2312" w:cs="Times New Roman"/>
      <w:sz w:val="24"/>
      <w:szCs w:val="24"/>
    </w:rPr>
  </w:style>
  <w:style w:type="paragraph" w:customStyle="1" w:styleId="140">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9</Pages>
  <Words>579</Words>
  <Characters>3305</Characters>
  <Lines>27</Lines>
  <Paragraphs>7</Paragraphs>
  <TotalTime>89</TotalTime>
  <ScaleCrop>false</ScaleCrop>
  <LinksUpToDate>false</LinksUpToDate>
  <CharactersWithSpaces>3877</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2019-07-30T18:34:00Z</dcterms:created>
  <dc:creator>Administrator</dc:creator>
  <cp:lastModifiedBy>佛山高新区管委会</cp:lastModifiedBy>
  <cp:lastPrinted>2019-08-15T02:42:00Z</cp:lastPrinted>
  <dcterms:modified xsi:type="dcterms:W3CDTF">2020-06-10T07:00:40Z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