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b/>
          <w:bCs/>
          <w:sz w:val="40"/>
          <w:szCs w:val="44"/>
        </w:rPr>
      </w:pPr>
      <w:bookmarkStart w:id="0" w:name="_Hlk12975146"/>
      <w:r>
        <w:rPr>
          <w:rFonts w:ascii="Times New Roman" w:hAnsi="Times New Roman" w:eastAsia="黑体" w:cs="Times New Roman"/>
          <w:b/>
          <w:bCs/>
          <w:sz w:val="40"/>
          <w:szCs w:val="44"/>
        </w:rPr>
        <w:t>佛山高新技术产业开发区</w:t>
      </w:r>
      <w:bookmarkStart w:id="1" w:name="_Hlk12973979"/>
      <w:r>
        <w:rPr>
          <w:rFonts w:hint="eastAsia" w:ascii="Times New Roman" w:hAnsi="Times New Roman" w:eastAsia="黑体" w:cs="Times New Roman"/>
          <w:b/>
          <w:bCs/>
          <w:sz w:val="40"/>
          <w:szCs w:val="44"/>
        </w:rPr>
        <w:t>经济</w:t>
      </w:r>
      <w:r>
        <w:rPr>
          <w:rFonts w:ascii="Times New Roman" w:hAnsi="Times New Roman" w:eastAsia="黑体" w:cs="Times New Roman"/>
          <w:b/>
          <w:bCs/>
          <w:sz w:val="40"/>
          <w:szCs w:val="44"/>
        </w:rPr>
        <w:t>发展专项资金</w:t>
      </w:r>
      <w:bookmarkEnd w:id="0"/>
      <w:bookmarkEnd w:id="1"/>
    </w:p>
    <w:p>
      <w:pPr>
        <w:jc w:val="center"/>
        <w:rPr>
          <w:rFonts w:ascii="Times New Roman" w:hAnsi="Times New Roman" w:eastAsia="黑体" w:cs="Times New Roman"/>
          <w:b/>
          <w:bCs/>
          <w:sz w:val="40"/>
          <w:szCs w:val="44"/>
        </w:rPr>
      </w:pPr>
      <w:r>
        <w:rPr>
          <w:rFonts w:hint="eastAsia" w:ascii="Times New Roman" w:hAnsi="Times New Roman" w:eastAsia="黑体" w:cs="Times New Roman"/>
          <w:b/>
          <w:bCs/>
          <w:sz w:val="40"/>
          <w:szCs w:val="44"/>
        </w:rPr>
        <w:t>管理办法</w:t>
      </w:r>
    </w:p>
    <w:p>
      <w:pPr>
        <w:jc w:val="center"/>
        <w:rPr>
          <w:rFonts w:ascii="Times New Roman" w:hAnsi="Times New Roman" w:eastAsia="仿宋_GB2312" w:cs="Times New Roman"/>
          <w:b/>
          <w:bCs/>
          <w:sz w:val="36"/>
          <w:szCs w:val="40"/>
        </w:rPr>
      </w:pPr>
    </w:p>
    <w:p>
      <w:pPr>
        <w:keepNext/>
        <w:keepLines/>
        <w:spacing w:line="360" w:lineRule="auto"/>
        <w:jc w:val="center"/>
        <w:outlineLvl w:val="1"/>
        <w:rPr>
          <w:rFonts w:ascii="Times New Roman" w:hAnsi="Times New Roman" w:eastAsia="黑体" w:cs="Times New Roman"/>
          <w:bCs/>
          <w:sz w:val="32"/>
          <w:szCs w:val="32"/>
        </w:rPr>
      </w:pPr>
      <w:bookmarkStart w:id="2" w:name="_Toc46434027"/>
      <w:r>
        <w:rPr>
          <w:rFonts w:ascii="Times New Roman" w:hAnsi="Times New Roman" w:eastAsia="黑体" w:cs="Times New Roman"/>
          <w:bCs/>
          <w:sz w:val="32"/>
          <w:szCs w:val="32"/>
        </w:rPr>
        <w:t>第一章  总  则</w:t>
      </w:r>
      <w:bookmarkEnd w:id="2"/>
      <w:bookmarkStart w:id="11" w:name="_GoBack"/>
      <w:bookmarkEnd w:id="11"/>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第一条</w:t>
      </w:r>
      <w:r>
        <w:rPr>
          <w:rFonts w:ascii="Times New Roman" w:hAnsi="Times New Roman" w:eastAsia="仿宋_GB2312" w:cs="Times New Roman"/>
          <w:sz w:val="32"/>
          <w:szCs w:val="32"/>
        </w:rPr>
        <w:t xml:space="preserve">  为有效激发佛山高新技术产业开发区（以下简称佛山高新区）新一轮创新发展活力，提升财政资金使用效益，根据《中华人民共和国预算法》《关于推动佛山高新技术产业开发区一区五园统筹协同发展的实施意见》（佛办字〔2019〕28号）《佛山市市级财政专项资金管理办法（试行）》（佛府办函〔2020〕16号）《佛山市市级财政资金项目库管理办法（试行）》（佛财预〔2019〕63号）《佛山高新技术产业开发区财政专项经费支出管理办法》（佛高新〔2020〕17号）等有关规定，制定本办法。</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佛山高新区经济发展专项资金（以下简称专项资金）是指市财政统筹安排，佛山高新区管委会统筹使用，用于支持佛山高新区提升创新能力、打造智能制造产业集群、优化创新环境等事业的财政资金。</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第三条</w:t>
      </w:r>
      <w:r>
        <w:rPr>
          <w:rFonts w:ascii="Times New Roman" w:hAnsi="Times New Roman" w:eastAsia="仿宋_GB2312" w:cs="Times New Roman"/>
          <w:sz w:val="32"/>
          <w:szCs w:val="32"/>
        </w:rPr>
        <w:t xml:space="preserve">  专项资金适用范围为佛山高新区</w:t>
      </w:r>
      <w:r>
        <w:rPr>
          <w:rFonts w:hint="eastAsia" w:ascii="Times New Roman" w:hAnsi="Times New Roman" w:eastAsia="仿宋_GB2312" w:cs="Times New Roman"/>
          <w:sz w:val="32"/>
          <w:szCs w:val="32"/>
        </w:rPr>
        <w:t>或纳入火炬统计的单位</w:t>
      </w:r>
      <w:r>
        <w:rPr>
          <w:rFonts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bCs/>
          <w:sz w:val="32"/>
          <w:szCs w:val="32"/>
        </w:rPr>
      </w:pPr>
    </w:p>
    <w:p>
      <w:pPr>
        <w:keepNext/>
        <w:keepLines/>
        <w:spacing w:line="360" w:lineRule="auto"/>
        <w:jc w:val="center"/>
        <w:outlineLvl w:val="1"/>
        <w:rPr>
          <w:rFonts w:ascii="Times New Roman" w:hAnsi="Times New Roman" w:eastAsia="黑体" w:cs="Times New Roman"/>
          <w:bCs/>
          <w:sz w:val="32"/>
          <w:szCs w:val="32"/>
        </w:rPr>
      </w:pPr>
      <w:bookmarkStart w:id="3" w:name="_Toc46434028"/>
      <w:r>
        <w:rPr>
          <w:rFonts w:ascii="Times New Roman" w:hAnsi="Times New Roman" w:eastAsia="黑体" w:cs="Times New Roman"/>
          <w:bCs/>
          <w:sz w:val="32"/>
          <w:szCs w:val="32"/>
        </w:rPr>
        <w:t>第二章  职责分工</w:t>
      </w:r>
      <w:bookmarkEnd w:id="3"/>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佛山高新区管委会（内设机构）职责：负责佛山高新区项目库管理；负责专项资金具体管理工作，提出专项资金变更调整申请；制定专项资金管理办法，编制并执行专项资金预算；开展全过程资金绩效管理；监督专项资金的使用，公开专项资金信息。</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佛山高新区管委会（各园区管理局）职责：协助开展项目申报、资金拨付等工作；按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结果</w:t>
      </w:r>
      <w:r>
        <w:rPr>
          <w:rFonts w:hint="eastAsia" w:ascii="Times New Roman" w:hAnsi="Times New Roman" w:eastAsia="仿宋_GB2312" w:cs="Times New Roman"/>
          <w:sz w:val="32"/>
          <w:szCs w:val="32"/>
        </w:rPr>
        <w:t>及各</w:t>
      </w:r>
      <w:r>
        <w:rPr>
          <w:rFonts w:ascii="Times New Roman" w:hAnsi="Times New Roman" w:eastAsia="仿宋_GB2312" w:cs="Times New Roman"/>
          <w:sz w:val="32"/>
          <w:szCs w:val="32"/>
        </w:rPr>
        <w:t>园区政策兑现安排给予项目资金配套支持；对辖区内项目承担单位资金的使用进行指导与监督。</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六</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项目承担单位职责：负责项目实施和资金使用，严格执行专项资金预算，具体组织项目实施，加强财务管理，接受验收考评、监督检查和绩效评价，以适当方式公开资金使用情况。</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七</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佛山高新区</w:t>
      </w:r>
      <w:r>
        <w:rPr>
          <w:rFonts w:hint="eastAsia" w:ascii="Times New Roman" w:hAnsi="Times New Roman" w:eastAsia="仿宋_GB2312" w:cs="Times New Roman"/>
          <w:sz w:val="32"/>
          <w:szCs w:val="32"/>
        </w:rPr>
        <w:t>纪检监察工委与各园区</w:t>
      </w:r>
      <w:r>
        <w:rPr>
          <w:rFonts w:ascii="Times New Roman" w:hAnsi="Times New Roman" w:eastAsia="仿宋_GB2312" w:cs="Times New Roman"/>
          <w:sz w:val="32"/>
          <w:szCs w:val="32"/>
        </w:rPr>
        <w:t>管理局纪检监察机构</w:t>
      </w:r>
      <w:r>
        <w:rPr>
          <w:rFonts w:hint="eastAsia" w:ascii="Times New Roman" w:hAnsi="Times New Roman" w:eastAsia="仿宋_GB2312" w:cs="Times New Roman"/>
          <w:sz w:val="32"/>
          <w:szCs w:val="32"/>
        </w:rPr>
        <w:t>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ascii="Times New Roman" w:hAnsi="Times New Roman" w:eastAsia="仿宋_GB2312" w:cs="Times New Roman"/>
          <w:sz w:val="32"/>
          <w:szCs w:val="32"/>
        </w:rPr>
        <w:t>，对专项资金管理、分配、使用与绩效情况进行监督。</w:t>
      </w:r>
    </w:p>
    <w:p>
      <w:pPr>
        <w:spacing w:line="360" w:lineRule="auto"/>
        <w:ind w:firstLine="640" w:firstLineChars="200"/>
        <w:rPr>
          <w:rFonts w:ascii="Times New Roman" w:hAnsi="Times New Roman" w:eastAsia="仿宋_GB2312" w:cs="Times New Roman"/>
          <w:sz w:val="32"/>
          <w:szCs w:val="32"/>
        </w:rPr>
      </w:pPr>
    </w:p>
    <w:p>
      <w:pPr>
        <w:keepNext/>
        <w:keepLines/>
        <w:spacing w:line="360" w:lineRule="auto"/>
        <w:jc w:val="center"/>
        <w:outlineLvl w:val="1"/>
        <w:rPr>
          <w:rFonts w:ascii="Times New Roman" w:hAnsi="Times New Roman" w:eastAsia="黑体" w:cs="Times New Roman"/>
          <w:bCs/>
          <w:sz w:val="32"/>
          <w:szCs w:val="32"/>
        </w:rPr>
      </w:pPr>
      <w:bookmarkStart w:id="4" w:name="_Toc46434029"/>
      <w:r>
        <w:rPr>
          <w:rFonts w:ascii="Times New Roman" w:hAnsi="Times New Roman" w:eastAsia="黑体" w:cs="Times New Roman"/>
          <w:bCs/>
          <w:sz w:val="32"/>
          <w:szCs w:val="32"/>
        </w:rPr>
        <w:t>第三章  专项资金使用范围</w:t>
      </w:r>
      <w:bookmarkEnd w:id="4"/>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八</w:t>
      </w:r>
      <w:r>
        <w:rPr>
          <w:rFonts w:ascii="Times New Roman" w:hAnsi="Times New Roman" w:eastAsia="仿宋_GB2312" w:cs="Times New Roman"/>
          <w:b/>
          <w:sz w:val="32"/>
          <w:szCs w:val="32"/>
        </w:rPr>
        <w:t xml:space="preserve">条  </w:t>
      </w:r>
      <w:r>
        <w:rPr>
          <w:rFonts w:ascii="Times New Roman" w:hAnsi="Times New Roman" w:eastAsia="仿宋_GB2312" w:cs="Times New Roman"/>
          <w:bCs/>
          <w:sz w:val="32"/>
          <w:szCs w:val="32"/>
        </w:rPr>
        <w:t>专项</w:t>
      </w:r>
      <w:r>
        <w:rPr>
          <w:rFonts w:ascii="Times New Roman" w:hAnsi="Times New Roman" w:eastAsia="仿宋_GB2312" w:cs="Times New Roman"/>
          <w:sz w:val="32"/>
          <w:szCs w:val="32"/>
        </w:rPr>
        <w:t>资金使用范围包括以下十个方面：</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（一）构建现代产业体系</w:t>
      </w:r>
      <w:r>
        <w:rPr>
          <w:rFonts w:ascii="Times New Roman" w:hAnsi="Times New Roman" w:eastAsia="仿宋_GB2312" w:cs="Times New Roman"/>
          <w:sz w:val="32"/>
          <w:szCs w:val="32"/>
        </w:rPr>
        <w:t>。紧跟全球新一轮科技革命和产业革命趋势，加快布局新产业新业态，构建具有国际竞争力的先进制造业产业集群；支持佛山高新区智能制造升级，开展“灯塔工厂”“智能工厂”等培育工作，深入推进“机器换人”</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工业互联网工程；支持</w:t>
      </w:r>
      <w:r>
        <w:rPr>
          <w:rFonts w:hint="eastAsia" w:ascii="Times New Roman" w:hAnsi="Times New Roman" w:eastAsia="仿宋_GB2312" w:cs="Times New Roman"/>
          <w:sz w:val="32"/>
          <w:szCs w:val="32"/>
        </w:rPr>
        <w:t>前沿技术</w:t>
      </w:r>
      <w:r>
        <w:rPr>
          <w:rFonts w:ascii="Times New Roman" w:hAnsi="Times New Roman" w:eastAsia="仿宋_GB2312" w:cs="Times New Roman"/>
          <w:sz w:val="32"/>
          <w:szCs w:val="32"/>
        </w:rPr>
        <w:t>应用场景</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，探索打造产业创新共同体等。</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（二）提升企业自主创新能力</w:t>
      </w:r>
      <w:r>
        <w:rPr>
          <w:rFonts w:ascii="Times New Roman" w:hAnsi="Times New Roman" w:eastAsia="仿宋_GB2312" w:cs="Times New Roman"/>
          <w:sz w:val="32"/>
          <w:szCs w:val="32"/>
        </w:rPr>
        <w:t>。遴选集聚一批独角兽企业、瞪羚企业和单打冠军企业等创新型高成长企业；支持一批领军企业做大做强；鼓励企业加大研发投入，提升企业自主创新能力，支持企业积极承接和参与国家、省、市研发计划项目，建设高水平企业研发机构、企业研究院、科研仪器大数据平台等；支持企业持续优化提升火炬统计工作。</w:t>
      </w:r>
    </w:p>
    <w:p>
      <w:pPr>
        <w:spacing w:line="360" w:lineRule="auto"/>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（三）建设高质量创新平台</w:t>
      </w:r>
      <w:r>
        <w:rPr>
          <w:rFonts w:ascii="Times New Roman" w:hAnsi="Times New Roman" w:eastAsia="仿宋_GB2312" w:cs="Times New Roman"/>
          <w:sz w:val="32"/>
          <w:szCs w:val="32"/>
        </w:rPr>
        <w:t>。深入实施创新驱动发展战略，</w:t>
      </w:r>
      <w:r>
        <w:rPr>
          <w:rFonts w:ascii="Times New Roman" w:hAnsi="Times New Roman" w:eastAsia="仿宋_GB2312" w:cs="Times New Roman"/>
          <w:bCs/>
          <w:sz w:val="32"/>
          <w:szCs w:val="32"/>
        </w:rPr>
        <w:t>加强</w:t>
      </w:r>
      <w:r>
        <w:rPr>
          <w:rFonts w:ascii="Times New Roman" w:hAnsi="Times New Roman" w:eastAsia="仿宋_GB2312" w:cs="Times New Roman"/>
          <w:sz w:val="32"/>
          <w:szCs w:val="32"/>
        </w:rPr>
        <w:t>高水平创新平台的建设、引进；支持创新创业服务平台、公共技术服务平台、科技服务平台、工业互联网服务平台等建设；鼓励建设众创空间、科技企业孵化器等创业孵化载体，并着力提升创业孵化载体服务支撑能力，实现提质增效发展。</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（四）汇聚创新创业人才</w:t>
      </w:r>
      <w:r>
        <w:rPr>
          <w:rFonts w:ascii="Times New Roman" w:hAnsi="Times New Roman" w:eastAsia="仿宋_GB2312" w:cs="Times New Roman"/>
          <w:sz w:val="32"/>
          <w:szCs w:val="32"/>
        </w:rPr>
        <w:t>。围绕产业发展导向，培育和引进一批高层次创新创业人才、产业化创业团队、产业急需紧缺人才等；鼓励企业引才育才，支持企业在职员工提升自身素质和技能；强化人才服务支撑，支持人才培育和服务平台建设，支持建立人才服务专员队伍。</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（五）加强科技成果转化</w:t>
      </w:r>
      <w:r>
        <w:rPr>
          <w:rFonts w:ascii="Times New Roman" w:hAnsi="Times New Roman" w:eastAsia="仿宋_GB2312" w:cs="Times New Roman"/>
          <w:sz w:val="32"/>
          <w:szCs w:val="32"/>
        </w:rPr>
        <w:t>。着力推进先进科技成果在佛山高新区转化产业化，支持建设技术成果转移转化平台和载体；鼓励企业参与技术成果转移转化，通过多种形式引进国内外先进科技成果并实施转化；大力培育科技成果转移转化中介机构和专业化人才；支持完善科技成果转移转化融资服务。</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（六）促进科技金融发展</w:t>
      </w:r>
      <w:r>
        <w:rPr>
          <w:rFonts w:ascii="Times New Roman" w:hAnsi="Times New Roman" w:eastAsia="仿宋_GB2312" w:cs="Times New Roman"/>
          <w:sz w:val="32"/>
          <w:szCs w:val="32"/>
        </w:rPr>
        <w:t>。强化科技金融服务支撑能力，支持设立产业投资、创业投资、风险投资、天使投资等各类投资机构和科技支行等；支持各类机构开展知识产权质押、股权质押、投贷联动等科技金融服务；支持股权投资机构投资佛山高新区科技创新企业和项目；引导企业通过多层次资本市场融资，对拟上市企业进行分阶段支持。</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（七）强化知识产权创造</w:t>
      </w:r>
      <w:r>
        <w:rPr>
          <w:rFonts w:ascii="Times New Roman" w:hAnsi="Times New Roman" w:eastAsia="仿宋_GB2312" w:cs="Times New Roman"/>
          <w:sz w:val="32"/>
          <w:szCs w:val="32"/>
        </w:rPr>
        <w:t>。鼓励企业加强知识产权创造、运用、保护，申请国内外专利，培育壮大商标品牌，参与或主导制定标准；加强知识产权管理，壮大知识产权人才队伍，支持引进国内外知名知识产权服务机构入驻，提升佛山高新区知识产权专业服务水平。</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（八）加强对外开放合作。</w:t>
      </w:r>
      <w:r>
        <w:rPr>
          <w:rFonts w:ascii="Times New Roman" w:hAnsi="Times New Roman" w:eastAsia="仿宋_GB2312" w:cs="Times New Roman"/>
          <w:sz w:val="32"/>
          <w:szCs w:val="32"/>
        </w:rPr>
        <w:t>全面深化国际合作，吸引全球领军创新型企业设立区域总部和研发中心；支持海外一流院所、科研机构设立研发中心，支持国际服务机构等设立分支机构；支持企事业单位参与国际科技创新合作，建设一批境外研发机构等；加强对接粤港澳大湾区创新创业资源。</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（九）营造</w:t>
      </w:r>
      <w:r>
        <w:rPr>
          <w:rFonts w:ascii="Times New Roman" w:hAnsi="Times New Roman" w:eastAsia="仿宋_GB2312" w:cs="Times New Roman"/>
          <w:b/>
          <w:sz w:val="32"/>
          <w:szCs w:val="32"/>
        </w:rPr>
        <w:t>活跃双创氛围</w:t>
      </w:r>
      <w:r>
        <w:rPr>
          <w:rFonts w:ascii="Times New Roman" w:hAnsi="Times New Roman" w:eastAsia="仿宋_GB2312" w:cs="Times New Roman"/>
          <w:sz w:val="32"/>
          <w:szCs w:val="32"/>
        </w:rPr>
        <w:t>。支持企事业单位、行业协会等举办有影响力的行业活动、学术会议等；支持校企联合，建设一批大学生实习基地和新型企业大学等；进一步加大科技奖励力度。</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（十）</w:t>
      </w:r>
      <w:r>
        <w:rPr>
          <w:rFonts w:ascii="Times New Roman" w:hAnsi="Times New Roman" w:eastAsia="仿宋_GB2312" w:cs="Times New Roman"/>
          <w:sz w:val="32"/>
          <w:szCs w:val="32"/>
        </w:rPr>
        <w:t>国家、省、市明确支持的其他事项和佛山高新区党工委、管委会确定的其他支持事项。</w:t>
      </w:r>
    </w:p>
    <w:p>
      <w:pPr>
        <w:spacing w:line="360" w:lineRule="auto"/>
        <w:ind w:firstLine="640" w:firstLineChars="200"/>
        <w:rPr>
          <w:rFonts w:hint="eastAsia" w:ascii="Times New Roman" w:hAnsi="Times New Roman" w:eastAsia="仿宋_GB2312" w:cs="Times New Roman"/>
          <w:sz w:val="32"/>
          <w:szCs w:val="32"/>
        </w:rPr>
      </w:pPr>
    </w:p>
    <w:p>
      <w:pPr>
        <w:keepNext/>
        <w:keepLines/>
        <w:spacing w:line="360" w:lineRule="auto"/>
        <w:jc w:val="center"/>
        <w:outlineLvl w:val="1"/>
        <w:rPr>
          <w:rFonts w:ascii="Times New Roman" w:hAnsi="Times New Roman" w:eastAsia="黑体" w:cs="Times New Roman"/>
          <w:bCs/>
          <w:sz w:val="32"/>
          <w:szCs w:val="32"/>
        </w:rPr>
      </w:pPr>
      <w:bookmarkStart w:id="5" w:name="_Toc46434030"/>
      <w:r>
        <w:rPr>
          <w:rFonts w:ascii="Times New Roman" w:hAnsi="Times New Roman" w:eastAsia="黑体" w:cs="Times New Roman"/>
          <w:bCs/>
          <w:sz w:val="32"/>
          <w:szCs w:val="32"/>
        </w:rPr>
        <w:t>第四章  专项资金项目库管理</w:t>
      </w:r>
      <w:bookmarkEnd w:id="5"/>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九</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专项资金实行项目库管理。根据《佛山市市级财政资金项目库管理办法（试行）》规定，按层级将项目分为“一级项目”和“二级项目”。本办法所指“一级项目”即佛山高新区经济发展专项资金；“二级项目”不作固化，但必须属于本专项资金管理办法所列的资金使用范围，由佛山高新区管委会根据每年度重点工作任务进行设置。</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佛山高新区管委会负责佛山高新区项目库建设，按照“突出重点、提高效率、节约成本”的原则，动态开展项目收集，科学选择内部集体研究、专家评审论证、委托第三方机构评审等方式，开展项目审核和评审论证，结论作为项目入库和排序的依据。未纳入项目库的专项资金项目，原则上不安排预算。</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一</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佛山高新区项目库常态化开放，在细化“二级项目”和完善项目信息后，采取成熟一批报送一批的方式，向市级预算储备项目库报送项目。纳入市级预算储备项目库的项目滚动作为年度预算编制和调整的备选项目。</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佛山高新区项目库管理与预算编制、执行与监督等环节相衔接，实行动态调整。每年及时对存在以下情况的项目进行清理退出：</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1.因不合法、不合规问题不得再次申报的；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2.原定政策已到期、发生变化、原定任务或工作目标已完成，或自身条件发生变化，无须再实施或无法再实施的；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3.重复申报的。</w:t>
      </w:r>
    </w:p>
    <w:p>
      <w:pPr>
        <w:spacing w:line="360" w:lineRule="auto"/>
        <w:ind w:firstLine="640" w:firstLineChars="200"/>
        <w:rPr>
          <w:rFonts w:ascii="Times New Roman" w:hAnsi="Times New Roman" w:eastAsia="仿宋_GB2312" w:cs="Times New Roman"/>
          <w:sz w:val="32"/>
          <w:szCs w:val="32"/>
        </w:rPr>
      </w:pPr>
    </w:p>
    <w:p>
      <w:pPr>
        <w:keepNext/>
        <w:keepLines/>
        <w:spacing w:line="360" w:lineRule="auto"/>
        <w:jc w:val="center"/>
        <w:outlineLvl w:val="1"/>
        <w:rPr>
          <w:rFonts w:ascii="Times New Roman" w:hAnsi="Times New Roman" w:eastAsia="黑体" w:cs="Times New Roman"/>
          <w:bCs/>
          <w:sz w:val="32"/>
          <w:szCs w:val="32"/>
        </w:rPr>
      </w:pPr>
      <w:bookmarkStart w:id="6" w:name="_Toc46434031"/>
      <w:r>
        <w:rPr>
          <w:rFonts w:ascii="Times New Roman" w:hAnsi="Times New Roman" w:eastAsia="黑体" w:cs="Times New Roman"/>
          <w:bCs/>
          <w:sz w:val="32"/>
          <w:szCs w:val="32"/>
        </w:rPr>
        <w:t>第五章  专项资金预算编制</w:t>
      </w:r>
      <w:bookmarkEnd w:id="6"/>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佛山高新区管委会按照轻重缓急原则，根据上一年度预算执行情况、绩效目标完成情况对纳入市级预算储备项目库的“二级项目”进行排序，编制形成专项资金目录清单和预算额度需求，报佛山高新区党工委会议审议后，再报市财政部门。</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w:t>
      </w: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佛山高新区管委会在编制专项资金目录清单时，同步编制“二级项目”绩效目标。要在财政预算绩效指标库选取并设置适当的定量、定性绩效指标，确保可量化、可评估。</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佛山高新区管委会根据市财政部门下达的额度控制数编制专项资金预算，报佛山高新区党工委会议审议后再报市财政部门审核。</w:t>
      </w:r>
    </w:p>
    <w:p>
      <w:pPr>
        <w:spacing w:line="360" w:lineRule="auto"/>
        <w:ind w:firstLine="640" w:firstLineChars="200"/>
        <w:rPr>
          <w:rFonts w:ascii="Times New Roman" w:hAnsi="Times New Roman" w:eastAsia="仿宋_GB2312" w:cs="Times New Roman"/>
          <w:sz w:val="32"/>
          <w:szCs w:val="32"/>
        </w:rPr>
      </w:pPr>
    </w:p>
    <w:p>
      <w:pPr>
        <w:keepNext/>
        <w:keepLines/>
        <w:spacing w:line="360" w:lineRule="auto"/>
        <w:jc w:val="center"/>
        <w:outlineLvl w:val="1"/>
        <w:rPr>
          <w:rFonts w:ascii="Times New Roman" w:hAnsi="Times New Roman" w:eastAsia="黑体" w:cs="Times New Roman"/>
          <w:bCs/>
          <w:sz w:val="32"/>
          <w:szCs w:val="32"/>
        </w:rPr>
      </w:pPr>
      <w:bookmarkStart w:id="7" w:name="_Toc46434032"/>
      <w:r>
        <w:rPr>
          <w:rFonts w:ascii="Times New Roman" w:hAnsi="Times New Roman" w:eastAsia="黑体" w:cs="Times New Roman"/>
          <w:bCs/>
          <w:sz w:val="32"/>
          <w:szCs w:val="32"/>
        </w:rPr>
        <w:t>第六章  专项资金预算执行</w:t>
      </w:r>
      <w:bookmarkEnd w:id="7"/>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六</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专项</w:t>
      </w:r>
      <w:r>
        <w:rPr>
          <w:rFonts w:ascii="Times New Roman" w:hAnsi="Times New Roman" w:eastAsia="仿宋_GB2312" w:cs="Times New Roman"/>
          <w:sz w:val="32"/>
          <w:szCs w:val="32"/>
        </w:rPr>
        <w:t>资金</w:t>
      </w:r>
      <w:r>
        <w:rPr>
          <w:rFonts w:hint="eastAsia" w:ascii="Times New Roman" w:hAnsi="Times New Roman" w:eastAsia="仿宋_GB2312" w:cs="Times New Roman"/>
          <w:sz w:val="32"/>
          <w:szCs w:val="32"/>
        </w:rPr>
        <w:t>支持形式均为无偿资助</w:t>
      </w:r>
      <w:r>
        <w:rPr>
          <w:rFonts w:ascii="Times New Roman" w:hAnsi="Times New Roman" w:eastAsia="仿宋_GB2312" w:cs="Times New Roman"/>
          <w:sz w:val="32"/>
          <w:szCs w:val="32"/>
        </w:rPr>
        <w:t>。佛山高新区管委会主要采用项目制方式，通过选取专家评审论证、委托第三方机构评估、集体研究审核等方式进行专项资金分配。</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七</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佛山高新区管委会根据批复后的预算，按支出进度制定季度资金需求计划报市财政部门审核。</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八</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对已有预算安排需要进行二次分配的资金项目，佛山高新区管委会根据相关政策需要编制项目申报指南，申报指南一般包括</w:t>
      </w:r>
      <w:r>
        <w:rPr>
          <w:rFonts w:ascii="Times New Roman" w:hAnsi="Times New Roman" w:eastAsia="仿宋_GB2312" w:cs="Times New Roman"/>
          <w:bCs/>
          <w:sz w:val="32"/>
          <w:szCs w:val="32"/>
        </w:rPr>
        <w:t>支持对象、支持条件、支持内容、支持强度、支持方式、申报方式和程序、禁止或限制申报条件和附件材料</w:t>
      </w:r>
      <w:r>
        <w:rPr>
          <w:rFonts w:ascii="Times New Roman" w:hAnsi="Times New Roman" w:eastAsia="仿宋_GB2312" w:cs="Times New Roman"/>
          <w:sz w:val="32"/>
          <w:szCs w:val="32"/>
        </w:rPr>
        <w:t>等内容。申报指南经佛山高新区管委会主任办公会议审议通过后，在“佛山扶持通”公开发布。佛山高新区管委会根据申报指南要求，选择专家评审论证、委托第三方机构评估、集体研究审核等方式明确资金支持对象，形成初步资金分配方案</w:t>
      </w:r>
      <w:r>
        <w:rPr>
          <w:rFonts w:hint="eastAsia" w:ascii="Times New Roman" w:hAnsi="Times New Roman" w:eastAsia="仿宋_GB2312" w:cs="Times New Roman"/>
          <w:sz w:val="32"/>
          <w:szCs w:val="32"/>
        </w:rPr>
        <w:t>，并按照佛山高新区财政专项经费支出管理办法规定审批程序，做好资金支出审批。</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十九</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对于事前资助类项目，项目申报单位应根据申报指南要求编制支出预算。佛山高新区管委会在批准立项时一并批准项目预算。项目立项后，佛山高新区管委会须与项目承担单位签订项目合同书，合同书应明确规定项目的绩效目标。对于单个项目资助额度超过200万元（含）的事前资助类项目，扶持资金分批次拨付。</w:t>
      </w:r>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第二十条</w:t>
      </w:r>
      <w:r>
        <w:rPr>
          <w:rFonts w:ascii="Times New Roman" w:hAnsi="Times New Roman" w:eastAsia="仿宋_GB2312" w:cs="Times New Roman"/>
          <w:bCs/>
          <w:sz w:val="32"/>
          <w:szCs w:val="32"/>
        </w:rPr>
        <w:t xml:space="preserve">  对于事前资助类项目，专项资金拨付后，项目承担单位应加快项目组织实施；项目实施完毕后，佛山高新区管委会自主或委托第三方机构根据实际情况组织项目验收；对于单个项目资助额度超过200万元（含）的事前资助类项目，要进行财务验收（需提交审计报告）。项目验收后要及时将验收结果报市财政部门备案。</w:t>
      </w:r>
    </w:p>
    <w:p>
      <w:pPr>
        <w:keepNext/>
        <w:keepLines/>
        <w:spacing w:line="360" w:lineRule="auto"/>
        <w:jc w:val="center"/>
        <w:outlineLvl w:val="1"/>
        <w:rPr>
          <w:rFonts w:ascii="Times New Roman" w:hAnsi="Times New Roman" w:eastAsia="黑体" w:cs="Times New Roman"/>
          <w:bCs/>
          <w:sz w:val="32"/>
          <w:szCs w:val="32"/>
        </w:rPr>
      </w:pPr>
      <w:bookmarkStart w:id="8" w:name="_Toc46434033"/>
      <w:r>
        <w:rPr>
          <w:rFonts w:ascii="Times New Roman" w:hAnsi="Times New Roman" w:eastAsia="黑体" w:cs="Times New Roman"/>
          <w:bCs/>
          <w:sz w:val="32"/>
          <w:szCs w:val="32"/>
        </w:rPr>
        <w:t>第七章  专项资金监督管理</w:t>
      </w:r>
      <w:bookmarkEnd w:id="8"/>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ascii="Times New Roman" w:hAnsi="Times New Roman" w:eastAsia="仿宋_GB2312" w:cs="Times New Roman"/>
          <w:b/>
          <w:kern w:val="0"/>
          <w:sz w:val="32"/>
          <w:szCs w:val="32"/>
        </w:rPr>
        <w:t>二十</w:t>
      </w:r>
      <w:r>
        <w:rPr>
          <w:rFonts w:hint="eastAsia" w:ascii="Times New Roman" w:hAnsi="Times New Roman" w:eastAsia="仿宋_GB2312" w:cs="Times New Roman"/>
          <w:b/>
          <w:kern w:val="0"/>
          <w:sz w:val="32"/>
          <w:szCs w:val="32"/>
        </w:rPr>
        <w:t>一</w:t>
      </w:r>
      <w:r>
        <w:rPr>
          <w:rFonts w:ascii="Times New Roman" w:hAnsi="Times New Roman" w:eastAsia="仿宋_GB2312" w:cs="Times New Roman"/>
          <w:b/>
          <w:bCs/>
          <w:sz w:val="32"/>
          <w:szCs w:val="32"/>
        </w:rPr>
        <w:t>条</w:t>
      </w:r>
      <w:r>
        <w:rPr>
          <w:rFonts w:ascii="Times New Roman" w:hAnsi="Times New Roman" w:eastAsia="仿宋_GB2312" w:cs="Times New Roman"/>
          <w:bCs/>
          <w:sz w:val="32"/>
          <w:szCs w:val="32"/>
        </w:rPr>
        <w:t xml:space="preserve">  佛山高新区管委会加强对专项资金使用情况的监督检查，对绩效目标实现程度和预算执行进度实行“双监控”，及时发现和纠正问题。</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w:t>
      </w:r>
      <w:r>
        <w:rPr>
          <w:rFonts w:ascii="Times New Roman" w:hAnsi="Times New Roman" w:eastAsia="仿宋_GB2312" w:cs="Times New Roman"/>
          <w:bCs/>
          <w:sz w:val="32"/>
          <w:szCs w:val="32"/>
        </w:rPr>
        <w:t>预算年度终了或预算执行完毕，佛山高新区管委会对专项资金使用情况开展绩效评价，形成自评报告</w:t>
      </w:r>
      <w:r>
        <w:rPr>
          <w:rFonts w:ascii="Times New Roman" w:hAnsi="Times New Roman" w:eastAsia="仿宋_GB2312" w:cs="Times New Roman"/>
          <w:sz w:val="32"/>
          <w:szCs w:val="32"/>
        </w:rPr>
        <w:t>报市财政部门备案。同时，要加强绩效结果的应用，建立完善绩效评价结果与年度预算安排和政策调整的挂钩机制。</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绩效评价结果采取评分和评级相结合的方式，原则上绩效评价的定量指标、定性指标、预算执行率权重设置为70%、20%、10%（可视情况进行适当调整，具体绩效自评表见附件一）。总分设置为100分，等级划分为四档：90（含）-100分为优、80（含）-90分为良，60（含）-80分为中、60分以下为差。若绩效评价结果为中、差的，佛山高新区管委会应加快完善政策、改进管理，并根据情况核减相应预算。</w:t>
      </w:r>
    </w:p>
    <w:p>
      <w:pPr>
        <w:spacing w:line="360" w:lineRule="auto"/>
        <w:ind w:firstLine="640"/>
        <w:rPr>
          <w:rFonts w:ascii="Times New Roman" w:hAnsi="Times New Roman" w:eastAsia="仿宋_GB2312" w:cs="Times New Roman"/>
          <w:sz w:val="32"/>
          <w:szCs w:val="32"/>
        </w:rPr>
      </w:pPr>
      <w:r>
        <w:rPr>
          <w:rFonts w:ascii="Times New Roman" w:hAnsi="Times New Roman" w:eastAsia="仿宋_GB2312" w:cs="Times New Roman"/>
          <w:b/>
          <w:kern w:val="0"/>
          <w:sz w:val="32"/>
          <w:szCs w:val="32"/>
        </w:rPr>
        <w:t>第二十</w:t>
      </w:r>
      <w:r>
        <w:rPr>
          <w:rFonts w:hint="eastAsia" w:ascii="Times New Roman" w:hAnsi="Times New Roman" w:eastAsia="仿宋_GB2312" w:cs="Times New Roman"/>
          <w:b/>
          <w:kern w:val="0"/>
          <w:sz w:val="32"/>
          <w:szCs w:val="32"/>
        </w:rPr>
        <w:t>四</w:t>
      </w:r>
      <w:r>
        <w:rPr>
          <w:rFonts w:ascii="Times New Roman" w:hAnsi="Times New Roman" w:eastAsia="仿宋_GB2312" w:cs="Times New Roman"/>
          <w:b/>
          <w:kern w:val="0"/>
          <w:sz w:val="32"/>
          <w:szCs w:val="32"/>
        </w:rPr>
        <w:t>条</w:t>
      </w:r>
      <w:r>
        <w:rPr>
          <w:rFonts w:ascii="Times New Roman" w:hAnsi="Times New Roman" w:eastAsia="仿宋_GB2312" w:cs="Times New Roman"/>
          <w:kern w:val="0"/>
          <w:sz w:val="32"/>
          <w:szCs w:val="32"/>
        </w:rPr>
        <w:t xml:space="preserve">  实行专项资金管理责任追究机制。</w:t>
      </w:r>
    </w:p>
    <w:p>
      <w:pPr>
        <w:spacing w:line="360" w:lineRule="auto"/>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对负责专项资金管理的佛山高新区管委会分管领导、内设部门领导、经办人员，以及其他部门、中介机构相关人员和评审专家在专项资金评审、分配、审批过程中存在违法违规行为的，按照“谁审批、谁负责”的原则，视情节轻重承担相应责任。</w:t>
      </w:r>
    </w:p>
    <w:p>
      <w:pPr>
        <w:spacing w:line="360" w:lineRule="auto"/>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项目承担单位在专项资金申报、管理、使用过程中存在违法违规行为的，依法依规作出严肃处理，追回专项资金，5年内停止其申报专项资金资格，纳入社会信用体系实施联合惩戒，并向社会公开其违法违规信息。</w:t>
      </w:r>
    </w:p>
    <w:p>
      <w:pPr>
        <w:spacing w:line="360" w:lineRule="auto"/>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（三）对涉及违法违纪的责任人员，一律依照有关规定严肃处理。构成犯罪的，依法追究刑事责任。</w:t>
      </w:r>
    </w:p>
    <w:p>
      <w:pPr>
        <w:spacing w:line="360" w:lineRule="auto"/>
        <w:ind w:firstLine="640"/>
        <w:rPr>
          <w:rFonts w:ascii="Times New Roman" w:hAnsi="Times New Roman" w:eastAsia="仿宋_GB2312" w:cs="Times New Roman"/>
          <w:sz w:val="32"/>
          <w:szCs w:val="32"/>
        </w:rPr>
      </w:pPr>
    </w:p>
    <w:p>
      <w:pPr>
        <w:keepNext/>
        <w:keepLines/>
        <w:spacing w:line="360" w:lineRule="auto"/>
        <w:jc w:val="center"/>
        <w:outlineLvl w:val="1"/>
        <w:rPr>
          <w:rFonts w:ascii="Times New Roman" w:hAnsi="Times New Roman" w:eastAsia="黑体" w:cs="Times New Roman"/>
          <w:bCs/>
          <w:sz w:val="32"/>
          <w:szCs w:val="32"/>
        </w:rPr>
      </w:pPr>
      <w:bookmarkStart w:id="9" w:name="_Toc46434034"/>
      <w:r>
        <w:rPr>
          <w:rFonts w:ascii="Times New Roman" w:hAnsi="Times New Roman" w:eastAsia="黑体" w:cs="Times New Roman"/>
          <w:bCs/>
          <w:sz w:val="32"/>
          <w:szCs w:val="32"/>
        </w:rPr>
        <w:t>第八章  附  则</w:t>
      </w:r>
      <w:bookmarkEnd w:id="9"/>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kern w:val="0"/>
          <w:sz w:val="32"/>
          <w:szCs w:val="32"/>
        </w:rPr>
        <w:t>第二十</w:t>
      </w:r>
      <w:r>
        <w:rPr>
          <w:rFonts w:hint="eastAsia" w:ascii="Times New Roman" w:hAnsi="Times New Roman" w:eastAsia="仿宋_GB2312" w:cs="Times New Roman"/>
          <w:b/>
          <w:kern w:val="0"/>
          <w:sz w:val="32"/>
          <w:szCs w:val="32"/>
        </w:rPr>
        <w:t>五</w:t>
      </w:r>
      <w:r>
        <w:rPr>
          <w:rFonts w:ascii="Times New Roman" w:hAnsi="Times New Roman" w:eastAsia="仿宋_GB2312" w:cs="Times New Roman"/>
          <w:b/>
          <w:kern w:val="0"/>
          <w:sz w:val="32"/>
          <w:szCs w:val="32"/>
        </w:rPr>
        <w:t>条</w:t>
      </w:r>
      <w:r>
        <w:rPr>
          <w:rFonts w:ascii="Times New Roman" w:hAnsi="Times New Roman" w:eastAsia="仿宋_GB2312" w:cs="Times New Roman"/>
          <w:kern w:val="0"/>
          <w:sz w:val="32"/>
          <w:szCs w:val="32"/>
        </w:rPr>
        <w:t xml:space="preserve">  </w:t>
      </w:r>
      <w:r>
        <w:rPr>
          <w:rFonts w:ascii="Times New Roman" w:hAnsi="Times New Roman" w:eastAsia="仿宋_GB2312" w:cs="Times New Roman"/>
          <w:sz w:val="32"/>
          <w:szCs w:val="32"/>
        </w:rPr>
        <w:t>专项资金需要变更设立金额、使用方向、执行年限的，由佛山高新区管委会填报《市级财政专项资金变更申报表》，与市财政部门联合行文报分管市领导和分管财政的市领导审核，经市长审批后提交市政府常务会议审议。</w:t>
      </w:r>
    </w:p>
    <w:p>
      <w:pPr>
        <w:spacing w:line="360" w:lineRule="auto"/>
        <w:ind w:firstLine="643" w:firstLineChars="200"/>
        <w:rPr>
          <w:rFonts w:ascii="Times New Roman" w:hAnsi="Times New Roman" w:eastAsia="仿宋_GB2312" w:cs="Times New Roman"/>
          <w:bCs/>
          <w:kern w:val="0"/>
          <w:sz w:val="32"/>
          <w:szCs w:val="32"/>
        </w:rPr>
      </w:pPr>
      <w:bookmarkStart w:id="10" w:name="_Hlk21972163"/>
      <w:r>
        <w:rPr>
          <w:rFonts w:ascii="Times New Roman" w:hAnsi="Times New Roman" w:eastAsia="仿宋_GB2312" w:cs="Times New Roman"/>
          <w:b/>
          <w:kern w:val="0"/>
          <w:sz w:val="32"/>
          <w:szCs w:val="32"/>
        </w:rPr>
        <w:t>第二十</w:t>
      </w:r>
      <w:r>
        <w:rPr>
          <w:rFonts w:hint="eastAsia" w:ascii="Times New Roman" w:hAnsi="Times New Roman" w:eastAsia="仿宋_GB2312" w:cs="Times New Roman"/>
          <w:b/>
          <w:kern w:val="0"/>
          <w:sz w:val="32"/>
          <w:szCs w:val="32"/>
        </w:rPr>
        <w:t>六</w:t>
      </w:r>
      <w:r>
        <w:rPr>
          <w:rFonts w:ascii="Times New Roman" w:hAnsi="Times New Roman" w:eastAsia="仿宋_GB2312" w:cs="Times New Roman"/>
          <w:b/>
          <w:kern w:val="0"/>
          <w:sz w:val="32"/>
          <w:szCs w:val="32"/>
        </w:rPr>
        <w:t>条</w:t>
      </w:r>
      <w:r>
        <w:rPr>
          <w:rFonts w:ascii="Times New Roman" w:hAnsi="Times New Roman" w:eastAsia="仿宋_GB2312" w:cs="Times New Roman"/>
          <w:kern w:val="0"/>
          <w:sz w:val="32"/>
          <w:szCs w:val="32"/>
        </w:rPr>
        <w:t xml:space="preserve">  “</w:t>
      </w:r>
      <w:r>
        <w:rPr>
          <w:rFonts w:ascii="Times New Roman" w:hAnsi="Times New Roman" w:eastAsia="仿宋_GB2312" w:cs="Times New Roman"/>
          <w:bCs/>
          <w:kern w:val="0"/>
          <w:sz w:val="32"/>
          <w:szCs w:val="32"/>
        </w:rPr>
        <w:t>佛山扶持通</w:t>
      </w:r>
      <w:r>
        <w:rPr>
          <w:rFonts w:ascii="Times New Roman" w:hAnsi="Times New Roman" w:eastAsia="仿宋_GB2312" w:cs="Times New Roman"/>
          <w:kern w:val="0"/>
          <w:sz w:val="32"/>
          <w:szCs w:val="32"/>
        </w:rPr>
        <w:t>”</w:t>
      </w:r>
      <w:bookmarkEnd w:id="10"/>
      <w:r>
        <w:rPr>
          <w:rFonts w:ascii="Times New Roman" w:hAnsi="Times New Roman" w:eastAsia="仿宋_GB2312" w:cs="Times New Roman"/>
          <w:bCs/>
          <w:kern w:val="0"/>
          <w:sz w:val="32"/>
          <w:szCs w:val="32"/>
        </w:rPr>
        <w:t>为佛山高新区经济发展专项资金政策发布、项目申报审核与信息公开的统一平台。专项资金的分配、执行和结果等全过程信息按照“谁制定、谁分配、谁使用、谁公开”的原则向社会公开。主要内容包括：</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（一）专项资金管理办法及实施细则。</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（二）专项资金目录清单。</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（三）专项资金申报指南（申报通知），包括</w:t>
      </w:r>
      <w:r>
        <w:rPr>
          <w:rFonts w:ascii="Times New Roman" w:hAnsi="Times New Roman" w:eastAsia="仿宋_GB2312" w:cs="Times New Roman"/>
          <w:bCs/>
          <w:sz w:val="32"/>
          <w:szCs w:val="32"/>
        </w:rPr>
        <w:t>支持对象、支持条件、支持内容、支持强度、支持方式、申报方式和程序、禁止或限制申报条件和附件材料、</w:t>
      </w:r>
      <w:r>
        <w:rPr>
          <w:rFonts w:ascii="Times New Roman" w:hAnsi="Times New Roman" w:eastAsia="仿宋_GB2312" w:cs="Times New Roman"/>
          <w:bCs/>
          <w:kern w:val="0"/>
          <w:sz w:val="32"/>
          <w:szCs w:val="32"/>
        </w:rPr>
        <w:t>审批部门、咨询电话等。</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（四）项目计划情况，包括申报单位、申请金额、安排金额、绩效目标、项目立项储备等。</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（五）资金分配方式、程序和结果，包括资金分配明细项目、金额和分配对象。</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（六）专项资金调整信息。</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（七）专项资金使用情况。</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（八）专项资金绩效评价、监督检查和审计结果等。</w:t>
      </w:r>
    </w:p>
    <w:p>
      <w:pPr>
        <w:spacing w:line="360" w:lineRule="auto"/>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（九）公开接受和处理投诉情况，包括投诉事项和投诉处理情况以及其他按规定应公开的内容。</w:t>
      </w:r>
    </w:p>
    <w:p>
      <w:pPr>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二十七</w:t>
      </w:r>
      <w:r>
        <w:rPr>
          <w:rFonts w:ascii="Times New Roman" w:hAnsi="Times New Roman" w:eastAsia="仿宋_GB2312" w:cs="Times New Roman"/>
          <w:b/>
          <w:bCs/>
          <w:sz w:val="32"/>
          <w:szCs w:val="32"/>
        </w:rPr>
        <w:t>条</w:t>
      </w:r>
      <w:r>
        <w:rPr>
          <w:rFonts w:ascii="Times New Roman" w:hAnsi="Times New Roman" w:eastAsia="仿宋_GB2312" w:cs="Times New Roman"/>
          <w:bCs/>
          <w:sz w:val="32"/>
          <w:szCs w:val="32"/>
        </w:rPr>
        <w:t xml:space="preserve">  佛山高新区管委会可计提不超过专项资金总额1%的前期工作经费（用于下一年度预算项目入库的前期论证、立项、入库评审等）及1%的事中事后工作经费（用于本年度及以前年度项目验收考评、监督检查、内部审计、绩效管理等）。</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专项资金工作经费安排使用要严格执行中央八项规定和厉行节约的相关要求，专款专用。</w:t>
      </w:r>
    </w:p>
    <w:p>
      <w:pPr>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二十八</w:t>
      </w:r>
      <w:r>
        <w:rPr>
          <w:rFonts w:ascii="Times New Roman" w:hAnsi="Times New Roman" w:eastAsia="仿宋_GB2312" w:cs="Times New Roman"/>
          <w:b/>
          <w:bCs/>
          <w:sz w:val="32"/>
          <w:szCs w:val="32"/>
        </w:rPr>
        <w:t>条</w:t>
      </w:r>
      <w:r>
        <w:rPr>
          <w:rFonts w:ascii="Times New Roman" w:hAnsi="Times New Roman" w:eastAsia="仿宋_GB2312" w:cs="Times New Roman"/>
          <w:b w:val="0"/>
          <w:bCs/>
          <w:sz w:val="32"/>
          <w:szCs w:val="32"/>
        </w:rPr>
        <w:t xml:space="preserve">  </w:t>
      </w:r>
      <w:r>
        <w:rPr>
          <w:rFonts w:hint="eastAsia" w:ascii="Times New Roman" w:hAnsi="Times New Roman" w:eastAsia="仿宋_GB2312" w:cs="Times New Roman"/>
          <w:bCs/>
          <w:sz w:val="32"/>
          <w:szCs w:val="32"/>
        </w:rPr>
        <w:t>除政策明确规定额外奖补情况外，对符合本办法同时又符合佛山高新区其他扶持政策规定的同类事项，按照“从高不重复原则”给予支持。</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二十九</w:t>
      </w:r>
      <w:r>
        <w:rPr>
          <w:rFonts w:ascii="Times New Roman" w:hAnsi="Times New Roman" w:eastAsia="仿宋_GB2312" w:cs="Times New Roman"/>
          <w:b/>
          <w:bCs/>
          <w:sz w:val="32"/>
          <w:szCs w:val="32"/>
        </w:rPr>
        <w:t>条</w:t>
      </w:r>
      <w:r>
        <w:rPr>
          <w:rFonts w:ascii="Times New Roman" w:hAnsi="Times New Roman" w:eastAsia="仿宋_GB2312" w:cs="Times New Roman"/>
          <w:bCs/>
          <w:sz w:val="32"/>
          <w:szCs w:val="32"/>
        </w:rPr>
        <w:t xml:space="preserve">  </w:t>
      </w:r>
      <w:r>
        <w:rPr>
          <w:rFonts w:ascii="Times New Roman" w:hAnsi="Times New Roman" w:eastAsia="仿宋_GB2312" w:cs="Times New Roman"/>
          <w:sz w:val="32"/>
          <w:szCs w:val="32"/>
        </w:rPr>
        <w:t>本办法自发布之日起实施，有效期5年。</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第三十条</w:t>
      </w:r>
      <w:r>
        <w:rPr>
          <w:rFonts w:ascii="Times New Roman" w:hAnsi="Times New Roman" w:eastAsia="仿宋_GB2312" w:cs="Times New Roman"/>
          <w:bCs/>
          <w:sz w:val="32"/>
          <w:szCs w:val="32"/>
        </w:rPr>
        <w:t xml:space="preserve">  </w:t>
      </w:r>
      <w:r>
        <w:rPr>
          <w:rFonts w:ascii="Times New Roman" w:hAnsi="Times New Roman" w:eastAsia="仿宋_GB2312" w:cs="Times New Roman"/>
          <w:sz w:val="32"/>
          <w:szCs w:val="32"/>
        </w:rPr>
        <w:t>本办法由佛山高新区管委会负责解释。</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附件一</w:t>
      </w:r>
    </w:p>
    <w:tbl>
      <w:tblPr>
        <w:tblStyle w:val="8"/>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1121"/>
        <w:gridCol w:w="709"/>
        <w:gridCol w:w="864"/>
        <w:gridCol w:w="695"/>
        <w:gridCol w:w="13"/>
      </w:tblGrid>
      <w:tr>
        <w:tblPrEx>
          <w:tblCellMar>
            <w:top w:w="0" w:type="dxa"/>
            <w:left w:w="108" w:type="dxa"/>
            <w:bottom w:w="0" w:type="dxa"/>
            <w:right w:w="108" w:type="dxa"/>
          </w:tblCellMar>
        </w:tblPrEx>
        <w:trPr>
          <w:trHeight w:val="454" w:hRule="exact"/>
          <w:jc w:val="center"/>
        </w:trPr>
        <w:tc>
          <w:tcPr>
            <w:tcW w:w="9080" w:type="dxa"/>
            <w:gridSpan w:val="12"/>
            <w:tcBorders>
              <w:top w:val="nil"/>
              <w:left w:val="nil"/>
              <w:bottom w:val="nil"/>
              <w:right w:val="nil"/>
            </w:tcBorders>
            <w:vAlign w:val="center"/>
          </w:tcPr>
          <w:p>
            <w:pPr>
              <w:widowControl/>
              <w:spacing w:line="320" w:lineRule="exact"/>
              <w:jc w:val="center"/>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绩效自评表</w:t>
            </w:r>
          </w:p>
        </w:tc>
      </w:tr>
      <w:tr>
        <w:tblPrEx>
          <w:tblCellMar>
            <w:top w:w="0" w:type="dxa"/>
            <w:left w:w="108" w:type="dxa"/>
            <w:bottom w:w="0" w:type="dxa"/>
            <w:right w:w="108" w:type="dxa"/>
          </w:tblCellMar>
        </w:tblPrEx>
        <w:trPr>
          <w:trHeight w:val="201" w:hRule="atLeast"/>
          <w:jc w:val="center"/>
        </w:trPr>
        <w:tc>
          <w:tcPr>
            <w:tcW w:w="9080" w:type="dxa"/>
            <w:gridSpan w:val="12"/>
            <w:tcBorders>
              <w:top w:val="nil"/>
              <w:left w:val="nil"/>
              <w:bottom w:val="nil"/>
              <w:right w:val="nil"/>
            </w:tcBorders>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项目名称</w:t>
            </w:r>
          </w:p>
        </w:tc>
        <w:tc>
          <w:tcPr>
            <w:tcW w:w="7512"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主管部门</w:t>
            </w:r>
          </w:p>
        </w:tc>
        <w:tc>
          <w:tcPr>
            <w:tcW w:w="7512"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项目资金</w:t>
            </w:r>
            <w:r>
              <w:rPr>
                <w:rFonts w:ascii="Times New Roman" w:hAnsi="Times New Roman" w:eastAsia="宋体" w:cs="Times New Roman"/>
                <w:kern w:val="0"/>
                <w:sz w:val="18"/>
                <w:szCs w:val="18"/>
              </w:rPr>
              <w:br w:type="textWrapping"/>
            </w:r>
            <w:r>
              <w:rPr>
                <w:rFonts w:ascii="Times New Roman" w:hAnsi="Times New Roman" w:eastAsia="宋体" w:cs="Times New Roman"/>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全年预算数</w:t>
            </w: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全年执行数</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分值</w:t>
            </w:r>
          </w:p>
        </w:tc>
        <w:tc>
          <w:tcPr>
            <w:tcW w:w="8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执行率</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宋体" w:cs="Times New Roman"/>
                <w:kern w:val="0"/>
                <w:sz w:val="18"/>
                <w:szCs w:val="18"/>
              </w:rPr>
            </w:pPr>
            <w:r>
              <w:rPr>
                <w:rFonts w:ascii="Times New Roman" w:hAnsi="Times New Roman" w:eastAsia="宋体" w:cs="Times New Roman"/>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10</w:t>
            </w:r>
          </w:p>
        </w:tc>
        <w:tc>
          <w:tcPr>
            <w:tcW w:w="8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67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绩</w:t>
            </w:r>
            <w:r>
              <w:rPr>
                <w:rFonts w:ascii="Times New Roman" w:hAnsi="Times New Roman" w:eastAsia="宋体" w:cs="Times New Roman"/>
                <w:kern w:val="0"/>
                <w:sz w:val="18"/>
                <w:szCs w:val="18"/>
              </w:rPr>
              <w:br w:type="textWrapping"/>
            </w:r>
            <w:r>
              <w:rPr>
                <w:rFonts w:ascii="Times New Roman" w:hAnsi="Times New Roman" w:eastAsia="宋体" w:cs="Times New Roman"/>
                <w:kern w:val="0"/>
                <w:sz w:val="18"/>
                <w:szCs w:val="18"/>
              </w:rPr>
              <w:t>效</w:t>
            </w:r>
            <w:r>
              <w:rPr>
                <w:rFonts w:ascii="Times New Roman" w:hAnsi="Times New Roman" w:eastAsia="宋体" w:cs="Times New Roman"/>
                <w:kern w:val="0"/>
                <w:sz w:val="18"/>
                <w:szCs w:val="18"/>
              </w:rPr>
              <w:br w:type="textWrapping"/>
            </w:r>
            <w:r>
              <w:rPr>
                <w:rFonts w:ascii="Times New Roman" w:hAnsi="Times New Roman" w:eastAsia="宋体" w:cs="Times New Roman"/>
                <w:kern w:val="0"/>
                <w:sz w:val="18"/>
                <w:szCs w:val="18"/>
              </w:rPr>
              <w:t>指</w:t>
            </w:r>
            <w:r>
              <w:rPr>
                <w:rFonts w:ascii="Times New Roman" w:hAnsi="Times New Roman" w:eastAsia="宋体" w:cs="Times New Roman"/>
                <w:kern w:val="0"/>
                <w:sz w:val="18"/>
                <w:szCs w:val="18"/>
              </w:rPr>
              <w:br w:type="textWrapping"/>
            </w:r>
            <w:r>
              <w:rPr>
                <w:rFonts w:ascii="Times New Roman" w:hAnsi="Times New Roman" w:eastAsia="宋体" w:cs="Times New Roman"/>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年度</w:t>
            </w:r>
          </w:p>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指标值</w:t>
            </w: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实际</w:t>
            </w:r>
          </w:p>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完成值</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分值</w:t>
            </w: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得分</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定量指标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70</w:t>
            </w: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6211" w:type="dxa"/>
            <w:gridSpan w:val="7"/>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定量指标得分</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定性指标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w:t>
            </w: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指标2：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12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6211" w:type="dxa"/>
            <w:gridSpan w:val="7"/>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定性指标得分</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c>
          <w:tcPr>
            <w:tcW w:w="1572"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gridAfter w:val="1"/>
          <w:wAfter w:w="13" w:type="dxa"/>
          <w:trHeight w:val="300" w:hRule="exact"/>
          <w:jc w:val="center"/>
        </w:trPr>
        <w:tc>
          <w:tcPr>
            <w:tcW w:w="67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总分</w:t>
            </w:r>
          </w:p>
        </w:tc>
        <w:tc>
          <w:tcPr>
            <w:tcW w:w="709" w:type="dxa"/>
            <w:tcBorders>
              <w:top w:val="nil"/>
              <w:left w:val="nil"/>
              <w:bottom w:val="nil"/>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100</w:t>
            </w:r>
          </w:p>
        </w:tc>
        <w:tc>
          <w:tcPr>
            <w:tcW w:w="1559" w:type="dxa"/>
            <w:gridSpan w:val="2"/>
            <w:tcBorders>
              <w:top w:val="nil"/>
              <w:left w:val="nil"/>
              <w:bottom w:val="nil"/>
              <w:right w:val="single" w:color="auto" w:sz="4" w:space="0"/>
            </w:tcBorders>
            <w:vAlign w:val="center"/>
          </w:tcPr>
          <w:p>
            <w:pPr>
              <w:widowControl/>
              <w:spacing w:line="240" w:lineRule="exact"/>
              <w:jc w:val="center"/>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gridAfter w:val="1"/>
          <w:wAfter w:w="13" w:type="dxa"/>
          <w:trHeight w:val="1735" w:hRule="exact"/>
          <w:jc w:val="center"/>
        </w:trPr>
        <w:tc>
          <w:tcPr>
            <w:tcW w:w="9067"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备注：</w:t>
            </w:r>
          </w:p>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1.定量指标可选取实际完成率、质量达标率、成本节约率、经济效益等指标，定性指标可选取社会效益、满意度等指标。</w:t>
            </w:r>
          </w:p>
          <w:p>
            <w:pPr>
              <w:widowControl/>
              <w:spacing w:line="240" w:lineRule="exact"/>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计算公式：总分=项目资金得分+定量指标得分+定性指标得分，其中项目资金得分=执行率*10，定量指标得分=定量三级指标得分之和÷定量三级指标数，定性指标得分=定性三级指标得分之和÷定性三级指标数，每个三级指标得分=（实际完成值/年度指标值）* 分值</w:t>
            </w:r>
          </w:p>
        </w:tc>
      </w:tr>
    </w:tbl>
    <w:p>
      <w:pPr>
        <w:rPr>
          <w:rFonts w:ascii="Times New Roman" w:hAnsi="Times New Roman" w:eastAsia="宋体" w:cs="Times New Roman"/>
        </w:rPr>
      </w:pPr>
    </w:p>
    <w:sectPr>
      <w:footerReference r:id="rId3" w:type="default"/>
      <w:pgSz w:w="11906" w:h="16838"/>
      <w:pgMar w:top="187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803732"/>
      <w:docPartObj>
        <w:docPartGallery w:val="autotext"/>
      </w:docPartObj>
    </w:sdtPr>
    <w:sdtContent>
      <w:p>
        <w:pPr>
          <w:pStyle w:val="5"/>
          <w:jc w:val="center"/>
        </w:pPr>
        <w:r>
          <w:fldChar w:fldCharType="begin"/>
        </w:r>
        <w:r>
          <w:instrText xml:space="preserve">PAGE   \* MERGEFORMAT</w:instrText>
        </w:r>
        <w:r>
          <w:fldChar w:fldCharType="separate"/>
        </w:r>
        <w:r>
          <w:rPr>
            <w:lang w:val="zh-CN"/>
          </w:rPr>
          <w:t>11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2D"/>
    <w:rsid w:val="000003E0"/>
    <w:rsid w:val="0000093B"/>
    <w:rsid w:val="00001F50"/>
    <w:rsid w:val="00002455"/>
    <w:rsid w:val="00002CC5"/>
    <w:rsid w:val="00005FD1"/>
    <w:rsid w:val="0000709D"/>
    <w:rsid w:val="000070E4"/>
    <w:rsid w:val="00007450"/>
    <w:rsid w:val="000119C5"/>
    <w:rsid w:val="00011BA5"/>
    <w:rsid w:val="000124D9"/>
    <w:rsid w:val="00013262"/>
    <w:rsid w:val="00014376"/>
    <w:rsid w:val="000159A1"/>
    <w:rsid w:val="0001753D"/>
    <w:rsid w:val="000175D6"/>
    <w:rsid w:val="000177F1"/>
    <w:rsid w:val="000205E3"/>
    <w:rsid w:val="00022960"/>
    <w:rsid w:val="00025070"/>
    <w:rsid w:val="0002665E"/>
    <w:rsid w:val="000266FC"/>
    <w:rsid w:val="0002765F"/>
    <w:rsid w:val="00031DF5"/>
    <w:rsid w:val="000327D6"/>
    <w:rsid w:val="00032F7D"/>
    <w:rsid w:val="00033383"/>
    <w:rsid w:val="00033451"/>
    <w:rsid w:val="00034722"/>
    <w:rsid w:val="00035CDD"/>
    <w:rsid w:val="000379A2"/>
    <w:rsid w:val="000406F8"/>
    <w:rsid w:val="00042B99"/>
    <w:rsid w:val="00051EB0"/>
    <w:rsid w:val="0005314D"/>
    <w:rsid w:val="0005351E"/>
    <w:rsid w:val="000560A2"/>
    <w:rsid w:val="00060681"/>
    <w:rsid w:val="0006081E"/>
    <w:rsid w:val="000612A7"/>
    <w:rsid w:val="00062EDF"/>
    <w:rsid w:val="0006357E"/>
    <w:rsid w:val="00063A69"/>
    <w:rsid w:val="00064C98"/>
    <w:rsid w:val="000654E3"/>
    <w:rsid w:val="00065874"/>
    <w:rsid w:val="00065A29"/>
    <w:rsid w:val="000667E5"/>
    <w:rsid w:val="000715D7"/>
    <w:rsid w:val="00072DEB"/>
    <w:rsid w:val="00074792"/>
    <w:rsid w:val="00074E94"/>
    <w:rsid w:val="00077C0C"/>
    <w:rsid w:val="00080683"/>
    <w:rsid w:val="00080BD6"/>
    <w:rsid w:val="00080C17"/>
    <w:rsid w:val="000820E8"/>
    <w:rsid w:val="000825BC"/>
    <w:rsid w:val="00082C2C"/>
    <w:rsid w:val="000836EE"/>
    <w:rsid w:val="00084429"/>
    <w:rsid w:val="00084A45"/>
    <w:rsid w:val="000862F7"/>
    <w:rsid w:val="000865D1"/>
    <w:rsid w:val="00090AEB"/>
    <w:rsid w:val="00091659"/>
    <w:rsid w:val="00092B85"/>
    <w:rsid w:val="00094A82"/>
    <w:rsid w:val="00097009"/>
    <w:rsid w:val="000A0EE4"/>
    <w:rsid w:val="000A1BC9"/>
    <w:rsid w:val="000A1DA2"/>
    <w:rsid w:val="000A2FEE"/>
    <w:rsid w:val="000A3A8C"/>
    <w:rsid w:val="000A5D94"/>
    <w:rsid w:val="000A7010"/>
    <w:rsid w:val="000A7CCA"/>
    <w:rsid w:val="000B084C"/>
    <w:rsid w:val="000B1860"/>
    <w:rsid w:val="000B2B8E"/>
    <w:rsid w:val="000B36F2"/>
    <w:rsid w:val="000B3F2C"/>
    <w:rsid w:val="000B51AF"/>
    <w:rsid w:val="000B68E8"/>
    <w:rsid w:val="000B7AF8"/>
    <w:rsid w:val="000C1107"/>
    <w:rsid w:val="000C164E"/>
    <w:rsid w:val="000C1D13"/>
    <w:rsid w:val="000C237D"/>
    <w:rsid w:val="000C2FF2"/>
    <w:rsid w:val="000C56FB"/>
    <w:rsid w:val="000C61A5"/>
    <w:rsid w:val="000D192F"/>
    <w:rsid w:val="000D1AB9"/>
    <w:rsid w:val="000D6847"/>
    <w:rsid w:val="000D6997"/>
    <w:rsid w:val="000E004B"/>
    <w:rsid w:val="000E0B7E"/>
    <w:rsid w:val="000E29AE"/>
    <w:rsid w:val="000E2B4D"/>
    <w:rsid w:val="000E38E5"/>
    <w:rsid w:val="000E3BF7"/>
    <w:rsid w:val="000E3C92"/>
    <w:rsid w:val="000E4798"/>
    <w:rsid w:val="000E4D8E"/>
    <w:rsid w:val="000E5786"/>
    <w:rsid w:val="000E6351"/>
    <w:rsid w:val="000E79C8"/>
    <w:rsid w:val="000F10F2"/>
    <w:rsid w:val="000F1F97"/>
    <w:rsid w:val="000F35A6"/>
    <w:rsid w:val="000F3998"/>
    <w:rsid w:val="000F4E56"/>
    <w:rsid w:val="000F5F73"/>
    <w:rsid w:val="0010156D"/>
    <w:rsid w:val="0010331D"/>
    <w:rsid w:val="00103BD3"/>
    <w:rsid w:val="00107BFC"/>
    <w:rsid w:val="00111AD1"/>
    <w:rsid w:val="001147B6"/>
    <w:rsid w:val="001158E2"/>
    <w:rsid w:val="00117873"/>
    <w:rsid w:val="00124781"/>
    <w:rsid w:val="0012529D"/>
    <w:rsid w:val="0012606E"/>
    <w:rsid w:val="001265D5"/>
    <w:rsid w:val="00127A5C"/>
    <w:rsid w:val="00131886"/>
    <w:rsid w:val="00131C44"/>
    <w:rsid w:val="00131F09"/>
    <w:rsid w:val="001326E4"/>
    <w:rsid w:val="001335FC"/>
    <w:rsid w:val="00134714"/>
    <w:rsid w:val="00135D4B"/>
    <w:rsid w:val="0013674A"/>
    <w:rsid w:val="00137F87"/>
    <w:rsid w:val="00140C86"/>
    <w:rsid w:val="001416C1"/>
    <w:rsid w:val="0014181D"/>
    <w:rsid w:val="00143756"/>
    <w:rsid w:val="00145976"/>
    <w:rsid w:val="00145E6F"/>
    <w:rsid w:val="00150447"/>
    <w:rsid w:val="0015193A"/>
    <w:rsid w:val="00151990"/>
    <w:rsid w:val="00152107"/>
    <w:rsid w:val="00152C29"/>
    <w:rsid w:val="00152F8B"/>
    <w:rsid w:val="00155E4D"/>
    <w:rsid w:val="00156BC5"/>
    <w:rsid w:val="00157199"/>
    <w:rsid w:val="00160693"/>
    <w:rsid w:val="001627DE"/>
    <w:rsid w:val="00162CCD"/>
    <w:rsid w:val="00162D19"/>
    <w:rsid w:val="00163EF0"/>
    <w:rsid w:val="00164477"/>
    <w:rsid w:val="00166114"/>
    <w:rsid w:val="00167F1D"/>
    <w:rsid w:val="00170357"/>
    <w:rsid w:val="0017462B"/>
    <w:rsid w:val="00174A2C"/>
    <w:rsid w:val="0017525F"/>
    <w:rsid w:val="00175848"/>
    <w:rsid w:val="001763C6"/>
    <w:rsid w:val="001767E4"/>
    <w:rsid w:val="00181656"/>
    <w:rsid w:val="00182FE6"/>
    <w:rsid w:val="001841DC"/>
    <w:rsid w:val="00186E00"/>
    <w:rsid w:val="00190398"/>
    <w:rsid w:val="001904CA"/>
    <w:rsid w:val="00190BEB"/>
    <w:rsid w:val="001931A3"/>
    <w:rsid w:val="0019355E"/>
    <w:rsid w:val="001940F9"/>
    <w:rsid w:val="00194A55"/>
    <w:rsid w:val="001960D9"/>
    <w:rsid w:val="00197A41"/>
    <w:rsid w:val="001A2138"/>
    <w:rsid w:val="001A4344"/>
    <w:rsid w:val="001A7133"/>
    <w:rsid w:val="001A73A0"/>
    <w:rsid w:val="001B09E8"/>
    <w:rsid w:val="001B109A"/>
    <w:rsid w:val="001B3000"/>
    <w:rsid w:val="001B3890"/>
    <w:rsid w:val="001B415E"/>
    <w:rsid w:val="001B52D8"/>
    <w:rsid w:val="001B74CE"/>
    <w:rsid w:val="001B7FB4"/>
    <w:rsid w:val="001C1B61"/>
    <w:rsid w:val="001C2AE0"/>
    <w:rsid w:val="001C3BFA"/>
    <w:rsid w:val="001C444F"/>
    <w:rsid w:val="001C58CB"/>
    <w:rsid w:val="001D022F"/>
    <w:rsid w:val="001D5741"/>
    <w:rsid w:val="001D6146"/>
    <w:rsid w:val="001D7187"/>
    <w:rsid w:val="001D7EF1"/>
    <w:rsid w:val="001E230B"/>
    <w:rsid w:val="001E4DC1"/>
    <w:rsid w:val="001E70F6"/>
    <w:rsid w:val="001E7192"/>
    <w:rsid w:val="001E7F69"/>
    <w:rsid w:val="001F3F94"/>
    <w:rsid w:val="00200305"/>
    <w:rsid w:val="00201495"/>
    <w:rsid w:val="002016CD"/>
    <w:rsid w:val="00203280"/>
    <w:rsid w:val="0020440D"/>
    <w:rsid w:val="00204731"/>
    <w:rsid w:val="00205D13"/>
    <w:rsid w:val="00206396"/>
    <w:rsid w:val="002068F3"/>
    <w:rsid w:val="00206C1A"/>
    <w:rsid w:val="002100C4"/>
    <w:rsid w:val="00210DA3"/>
    <w:rsid w:val="002122FB"/>
    <w:rsid w:val="00212792"/>
    <w:rsid w:val="002130F2"/>
    <w:rsid w:val="00213791"/>
    <w:rsid w:val="0021421B"/>
    <w:rsid w:val="00214F21"/>
    <w:rsid w:val="002160AF"/>
    <w:rsid w:val="00216108"/>
    <w:rsid w:val="0021718A"/>
    <w:rsid w:val="00221577"/>
    <w:rsid w:val="00222C20"/>
    <w:rsid w:val="00225950"/>
    <w:rsid w:val="00226687"/>
    <w:rsid w:val="00227213"/>
    <w:rsid w:val="0023009B"/>
    <w:rsid w:val="00231001"/>
    <w:rsid w:val="00231F9D"/>
    <w:rsid w:val="0023211A"/>
    <w:rsid w:val="00233410"/>
    <w:rsid w:val="0023384F"/>
    <w:rsid w:val="00234818"/>
    <w:rsid w:val="00236F79"/>
    <w:rsid w:val="00237299"/>
    <w:rsid w:val="00237644"/>
    <w:rsid w:val="00237727"/>
    <w:rsid w:val="002407AD"/>
    <w:rsid w:val="00241984"/>
    <w:rsid w:val="00242289"/>
    <w:rsid w:val="00243535"/>
    <w:rsid w:val="00243A4B"/>
    <w:rsid w:val="00243D03"/>
    <w:rsid w:val="0024608C"/>
    <w:rsid w:val="00246746"/>
    <w:rsid w:val="002510C0"/>
    <w:rsid w:val="0025409B"/>
    <w:rsid w:val="00254415"/>
    <w:rsid w:val="00254B5D"/>
    <w:rsid w:val="00256399"/>
    <w:rsid w:val="00256ACB"/>
    <w:rsid w:val="00256FA1"/>
    <w:rsid w:val="00257C82"/>
    <w:rsid w:val="002604ED"/>
    <w:rsid w:val="0026217A"/>
    <w:rsid w:val="002624B2"/>
    <w:rsid w:val="00270350"/>
    <w:rsid w:val="0027206C"/>
    <w:rsid w:val="00272558"/>
    <w:rsid w:val="00273274"/>
    <w:rsid w:val="00274182"/>
    <w:rsid w:val="002742D6"/>
    <w:rsid w:val="00274F1D"/>
    <w:rsid w:val="00274FEA"/>
    <w:rsid w:val="00276E6F"/>
    <w:rsid w:val="0028033C"/>
    <w:rsid w:val="0028060F"/>
    <w:rsid w:val="002813EE"/>
    <w:rsid w:val="00281D19"/>
    <w:rsid w:val="00281FFE"/>
    <w:rsid w:val="0028531E"/>
    <w:rsid w:val="00285389"/>
    <w:rsid w:val="00285877"/>
    <w:rsid w:val="00286EA9"/>
    <w:rsid w:val="002914B0"/>
    <w:rsid w:val="002916B3"/>
    <w:rsid w:val="00292815"/>
    <w:rsid w:val="0029317E"/>
    <w:rsid w:val="00293678"/>
    <w:rsid w:val="00293A9F"/>
    <w:rsid w:val="00293F9D"/>
    <w:rsid w:val="002958F0"/>
    <w:rsid w:val="002A139F"/>
    <w:rsid w:val="002A342D"/>
    <w:rsid w:val="002A44CD"/>
    <w:rsid w:val="002A4F20"/>
    <w:rsid w:val="002A632E"/>
    <w:rsid w:val="002A6C4F"/>
    <w:rsid w:val="002A6D5A"/>
    <w:rsid w:val="002B0398"/>
    <w:rsid w:val="002B24FA"/>
    <w:rsid w:val="002B3CA8"/>
    <w:rsid w:val="002B3DFA"/>
    <w:rsid w:val="002B642A"/>
    <w:rsid w:val="002C19EB"/>
    <w:rsid w:val="002C38C1"/>
    <w:rsid w:val="002C48E5"/>
    <w:rsid w:val="002C5D80"/>
    <w:rsid w:val="002C6827"/>
    <w:rsid w:val="002D16B2"/>
    <w:rsid w:val="002D1739"/>
    <w:rsid w:val="002D35D6"/>
    <w:rsid w:val="002D3F78"/>
    <w:rsid w:val="002D4C09"/>
    <w:rsid w:val="002D6A3F"/>
    <w:rsid w:val="002D737D"/>
    <w:rsid w:val="002E056E"/>
    <w:rsid w:val="002E1E9E"/>
    <w:rsid w:val="002E323F"/>
    <w:rsid w:val="002E48F2"/>
    <w:rsid w:val="002E5C86"/>
    <w:rsid w:val="002E6F57"/>
    <w:rsid w:val="002F4619"/>
    <w:rsid w:val="002F49C1"/>
    <w:rsid w:val="002F5D4F"/>
    <w:rsid w:val="002F6048"/>
    <w:rsid w:val="002F7F6E"/>
    <w:rsid w:val="0030167A"/>
    <w:rsid w:val="00302BA2"/>
    <w:rsid w:val="0030362F"/>
    <w:rsid w:val="00304903"/>
    <w:rsid w:val="00307D6E"/>
    <w:rsid w:val="0031080B"/>
    <w:rsid w:val="0031138E"/>
    <w:rsid w:val="00311D9F"/>
    <w:rsid w:val="003132B8"/>
    <w:rsid w:val="003135A1"/>
    <w:rsid w:val="003142A1"/>
    <w:rsid w:val="00315CF5"/>
    <w:rsid w:val="0031645D"/>
    <w:rsid w:val="00316D8B"/>
    <w:rsid w:val="00317069"/>
    <w:rsid w:val="0032024A"/>
    <w:rsid w:val="00322C34"/>
    <w:rsid w:val="003244D1"/>
    <w:rsid w:val="0032510B"/>
    <w:rsid w:val="00325233"/>
    <w:rsid w:val="00325A18"/>
    <w:rsid w:val="00326C1E"/>
    <w:rsid w:val="00330001"/>
    <w:rsid w:val="00330128"/>
    <w:rsid w:val="00331875"/>
    <w:rsid w:val="00333A85"/>
    <w:rsid w:val="00336161"/>
    <w:rsid w:val="00336897"/>
    <w:rsid w:val="003371C8"/>
    <w:rsid w:val="00340AD9"/>
    <w:rsid w:val="00341198"/>
    <w:rsid w:val="003427B1"/>
    <w:rsid w:val="00345933"/>
    <w:rsid w:val="00345B24"/>
    <w:rsid w:val="00345F2B"/>
    <w:rsid w:val="00346099"/>
    <w:rsid w:val="00346316"/>
    <w:rsid w:val="0034671D"/>
    <w:rsid w:val="00346F4A"/>
    <w:rsid w:val="00347C60"/>
    <w:rsid w:val="00351CB7"/>
    <w:rsid w:val="00353714"/>
    <w:rsid w:val="003625F2"/>
    <w:rsid w:val="00362D65"/>
    <w:rsid w:val="00362F0B"/>
    <w:rsid w:val="003635FD"/>
    <w:rsid w:val="00363C95"/>
    <w:rsid w:val="00365189"/>
    <w:rsid w:val="00365950"/>
    <w:rsid w:val="0036637F"/>
    <w:rsid w:val="00367731"/>
    <w:rsid w:val="00370571"/>
    <w:rsid w:val="00371BBB"/>
    <w:rsid w:val="00372936"/>
    <w:rsid w:val="00375842"/>
    <w:rsid w:val="003768C5"/>
    <w:rsid w:val="00380C0B"/>
    <w:rsid w:val="0038232E"/>
    <w:rsid w:val="00383E5E"/>
    <w:rsid w:val="0038408E"/>
    <w:rsid w:val="00384233"/>
    <w:rsid w:val="00385BCE"/>
    <w:rsid w:val="00385C0C"/>
    <w:rsid w:val="00387A43"/>
    <w:rsid w:val="0039048C"/>
    <w:rsid w:val="0039197F"/>
    <w:rsid w:val="003941A0"/>
    <w:rsid w:val="003965FA"/>
    <w:rsid w:val="00396AD2"/>
    <w:rsid w:val="003A1E03"/>
    <w:rsid w:val="003A2345"/>
    <w:rsid w:val="003A31FB"/>
    <w:rsid w:val="003A62BA"/>
    <w:rsid w:val="003A6FB7"/>
    <w:rsid w:val="003A7558"/>
    <w:rsid w:val="003A7727"/>
    <w:rsid w:val="003B1129"/>
    <w:rsid w:val="003B139A"/>
    <w:rsid w:val="003B1AC2"/>
    <w:rsid w:val="003B2A27"/>
    <w:rsid w:val="003B307F"/>
    <w:rsid w:val="003B413F"/>
    <w:rsid w:val="003B4ACD"/>
    <w:rsid w:val="003B4E15"/>
    <w:rsid w:val="003B5091"/>
    <w:rsid w:val="003B5FEE"/>
    <w:rsid w:val="003B6053"/>
    <w:rsid w:val="003B630A"/>
    <w:rsid w:val="003C2D58"/>
    <w:rsid w:val="003C3A1F"/>
    <w:rsid w:val="003C4C76"/>
    <w:rsid w:val="003C635E"/>
    <w:rsid w:val="003C6568"/>
    <w:rsid w:val="003C6976"/>
    <w:rsid w:val="003C78DD"/>
    <w:rsid w:val="003C7E25"/>
    <w:rsid w:val="003D0AC2"/>
    <w:rsid w:val="003D1468"/>
    <w:rsid w:val="003D1B19"/>
    <w:rsid w:val="003D26A2"/>
    <w:rsid w:val="003D3813"/>
    <w:rsid w:val="003D4AA7"/>
    <w:rsid w:val="003E07E9"/>
    <w:rsid w:val="003E1FA6"/>
    <w:rsid w:val="003E2410"/>
    <w:rsid w:val="003E58A0"/>
    <w:rsid w:val="003E6DD4"/>
    <w:rsid w:val="003E780A"/>
    <w:rsid w:val="003F12B0"/>
    <w:rsid w:val="003F41E7"/>
    <w:rsid w:val="003F5926"/>
    <w:rsid w:val="0040073C"/>
    <w:rsid w:val="00400A93"/>
    <w:rsid w:val="0040115A"/>
    <w:rsid w:val="00402F67"/>
    <w:rsid w:val="004036CB"/>
    <w:rsid w:val="0040721D"/>
    <w:rsid w:val="00407448"/>
    <w:rsid w:val="00411184"/>
    <w:rsid w:val="004117D0"/>
    <w:rsid w:val="00412387"/>
    <w:rsid w:val="00413285"/>
    <w:rsid w:val="00415042"/>
    <w:rsid w:val="00420D89"/>
    <w:rsid w:val="00420E3F"/>
    <w:rsid w:val="00420F16"/>
    <w:rsid w:val="004210AC"/>
    <w:rsid w:val="004212B2"/>
    <w:rsid w:val="00421904"/>
    <w:rsid w:val="00422368"/>
    <w:rsid w:val="0042427C"/>
    <w:rsid w:val="00424C37"/>
    <w:rsid w:val="00426E86"/>
    <w:rsid w:val="00427B9F"/>
    <w:rsid w:val="0043073C"/>
    <w:rsid w:val="00430B15"/>
    <w:rsid w:val="00432D16"/>
    <w:rsid w:val="00433244"/>
    <w:rsid w:val="004346A7"/>
    <w:rsid w:val="00434867"/>
    <w:rsid w:val="00435498"/>
    <w:rsid w:val="00435623"/>
    <w:rsid w:val="00441C32"/>
    <w:rsid w:val="00441C8B"/>
    <w:rsid w:val="00442D9F"/>
    <w:rsid w:val="00443B72"/>
    <w:rsid w:val="0044676C"/>
    <w:rsid w:val="004479FB"/>
    <w:rsid w:val="0045391B"/>
    <w:rsid w:val="00453A1B"/>
    <w:rsid w:val="00453BF7"/>
    <w:rsid w:val="00455002"/>
    <w:rsid w:val="004566B6"/>
    <w:rsid w:val="00457746"/>
    <w:rsid w:val="0046128F"/>
    <w:rsid w:val="00461CFB"/>
    <w:rsid w:val="0046276F"/>
    <w:rsid w:val="00463B5E"/>
    <w:rsid w:val="00463C83"/>
    <w:rsid w:val="00464FD5"/>
    <w:rsid w:val="0046544B"/>
    <w:rsid w:val="00466694"/>
    <w:rsid w:val="004677E5"/>
    <w:rsid w:val="00470CC2"/>
    <w:rsid w:val="00470E35"/>
    <w:rsid w:val="00471072"/>
    <w:rsid w:val="00472A8E"/>
    <w:rsid w:val="004734F0"/>
    <w:rsid w:val="004735EC"/>
    <w:rsid w:val="00473D1A"/>
    <w:rsid w:val="004755D3"/>
    <w:rsid w:val="00475983"/>
    <w:rsid w:val="004768C9"/>
    <w:rsid w:val="00476933"/>
    <w:rsid w:val="00477C6A"/>
    <w:rsid w:val="00477EB0"/>
    <w:rsid w:val="0048095C"/>
    <w:rsid w:val="00481634"/>
    <w:rsid w:val="0048250D"/>
    <w:rsid w:val="004844F0"/>
    <w:rsid w:val="00484F87"/>
    <w:rsid w:val="0048532A"/>
    <w:rsid w:val="004858D6"/>
    <w:rsid w:val="004866A8"/>
    <w:rsid w:val="004866C7"/>
    <w:rsid w:val="00487925"/>
    <w:rsid w:val="00490A72"/>
    <w:rsid w:val="00492C78"/>
    <w:rsid w:val="004931D4"/>
    <w:rsid w:val="004949D2"/>
    <w:rsid w:val="00496B68"/>
    <w:rsid w:val="00497C63"/>
    <w:rsid w:val="004A0D01"/>
    <w:rsid w:val="004A2B29"/>
    <w:rsid w:val="004A3DE1"/>
    <w:rsid w:val="004A421D"/>
    <w:rsid w:val="004A4BBE"/>
    <w:rsid w:val="004A5B18"/>
    <w:rsid w:val="004A6ED6"/>
    <w:rsid w:val="004B43A1"/>
    <w:rsid w:val="004B4BEF"/>
    <w:rsid w:val="004B5773"/>
    <w:rsid w:val="004B5EEA"/>
    <w:rsid w:val="004B6B46"/>
    <w:rsid w:val="004B71F0"/>
    <w:rsid w:val="004C2D3F"/>
    <w:rsid w:val="004C310F"/>
    <w:rsid w:val="004C37B7"/>
    <w:rsid w:val="004C469C"/>
    <w:rsid w:val="004C6293"/>
    <w:rsid w:val="004C71A4"/>
    <w:rsid w:val="004C7413"/>
    <w:rsid w:val="004C7DCF"/>
    <w:rsid w:val="004D05F4"/>
    <w:rsid w:val="004D0941"/>
    <w:rsid w:val="004D1C6E"/>
    <w:rsid w:val="004D24C8"/>
    <w:rsid w:val="004D3719"/>
    <w:rsid w:val="004D49BD"/>
    <w:rsid w:val="004D4A36"/>
    <w:rsid w:val="004D5D3C"/>
    <w:rsid w:val="004D627D"/>
    <w:rsid w:val="004D6B94"/>
    <w:rsid w:val="004D7DAD"/>
    <w:rsid w:val="004E3290"/>
    <w:rsid w:val="004E3A7C"/>
    <w:rsid w:val="004E5E9D"/>
    <w:rsid w:val="004E6F21"/>
    <w:rsid w:val="004E779B"/>
    <w:rsid w:val="004E7AA4"/>
    <w:rsid w:val="004F03CA"/>
    <w:rsid w:val="004F0FED"/>
    <w:rsid w:val="004F2284"/>
    <w:rsid w:val="004F26B9"/>
    <w:rsid w:val="004F3381"/>
    <w:rsid w:val="004F49F3"/>
    <w:rsid w:val="004F4A35"/>
    <w:rsid w:val="004F6440"/>
    <w:rsid w:val="004F66BB"/>
    <w:rsid w:val="004F6DD4"/>
    <w:rsid w:val="00504193"/>
    <w:rsid w:val="00504976"/>
    <w:rsid w:val="00505053"/>
    <w:rsid w:val="0050639C"/>
    <w:rsid w:val="00506500"/>
    <w:rsid w:val="0051020D"/>
    <w:rsid w:val="005109BF"/>
    <w:rsid w:val="005121B4"/>
    <w:rsid w:val="0051407E"/>
    <w:rsid w:val="00515958"/>
    <w:rsid w:val="00516068"/>
    <w:rsid w:val="0051719A"/>
    <w:rsid w:val="00520529"/>
    <w:rsid w:val="005232D3"/>
    <w:rsid w:val="00523F50"/>
    <w:rsid w:val="00524AD2"/>
    <w:rsid w:val="00526AB9"/>
    <w:rsid w:val="00526B14"/>
    <w:rsid w:val="00536F51"/>
    <w:rsid w:val="00540890"/>
    <w:rsid w:val="005414ED"/>
    <w:rsid w:val="00541815"/>
    <w:rsid w:val="005426E1"/>
    <w:rsid w:val="00544382"/>
    <w:rsid w:val="005451A9"/>
    <w:rsid w:val="005457D1"/>
    <w:rsid w:val="005459BA"/>
    <w:rsid w:val="00547744"/>
    <w:rsid w:val="00550F75"/>
    <w:rsid w:val="005510F9"/>
    <w:rsid w:val="005512A9"/>
    <w:rsid w:val="00551F33"/>
    <w:rsid w:val="00553C5C"/>
    <w:rsid w:val="00553EDD"/>
    <w:rsid w:val="00554E3D"/>
    <w:rsid w:val="0055688C"/>
    <w:rsid w:val="00556DC6"/>
    <w:rsid w:val="00560CC7"/>
    <w:rsid w:val="0056209D"/>
    <w:rsid w:val="00562E22"/>
    <w:rsid w:val="00563412"/>
    <w:rsid w:val="005667AE"/>
    <w:rsid w:val="0057043D"/>
    <w:rsid w:val="00570B33"/>
    <w:rsid w:val="005719F3"/>
    <w:rsid w:val="00572279"/>
    <w:rsid w:val="005732FF"/>
    <w:rsid w:val="005750C1"/>
    <w:rsid w:val="00581A1F"/>
    <w:rsid w:val="00582B1B"/>
    <w:rsid w:val="00584748"/>
    <w:rsid w:val="00585FE6"/>
    <w:rsid w:val="00590734"/>
    <w:rsid w:val="00590764"/>
    <w:rsid w:val="00594D56"/>
    <w:rsid w:val="005952B6"/>
    <w:rsid w:val="0059576C"/>
    <w:rsid w:val="00596141"/>
    <w:rsid w:val="0059693A"/>
    <w:rsid w:val="00596E76"/>
    <w:rsid w:val="00596EEB"/>
    <w:rsid w:val="005A1F36"/>
    <w:rsid w:val="005A2716"/>
    <w:rsid w:val="005A3696"/>
    <w:rsid w:val="005A683B"/>
    <w:rsid w:val="005A6904"/>
    <w:rsid w:val="005A6982"/>
    <w:rsid w:val="005A70FB"/>
    <w:rsid w:val="005A74A3"/>
    <w:rsid w:val="005A77F6"/>
    <w:rsid w:val="005B0342"/>
    <w:rsid w:val="005B1127"/>
    <w:rsid w:val="005B3BE5"/>
    <w:rsid w:val="005B44AF"/>
    <w:rsid w:val="005B5D63"/>
    <w:rsid w:val="005B5F58"/>
    <w:rsid w:val="005B6A9C"/>
    <w:rsid w:val="005B722B"/>
    <w:rsid w:val="005C0074"/>
    <w:rsid w:val="005C03E7"/>
    <w:rsid w:val="005C06C5"/>
    <w:rsid w:val="005C31D5"/>
    <w:rsid w:val="005C4C32"/>
    <w:rsid w:val="005C4CA8"/>
    <w:rsid w:val="005C4FEB"/>
    <w:rsid w:val="005C503B"/>
    <w:rsid w:val="005D12F2"/>
    <w:rsid w:val="005E02D5"/>
    <w:rsid w:val="005E0584"/>
    <w:rsid w:val="005E0E47"/>
    <w:rsid w:val="005E1DBC"/>
    <w:rsid w:val="005E226D"/>
    <w:rsid w:val="005E3886"/>
    <w:rsid w:val="005E3E5E"/>
    <w:rsid w:val="005E7A9D"/>
    <w:rsid w:val="005E7D96"/>
    <w:rsid w:val="005F060B"/>
    <w:rsid w:val="005F2617"/>
    <w:rsid w:val="005F3206"/>
    <w:rsid w:val="005F630F"/>
    <w:rsid w:val="006002A3"/>
    <w:rsid w:val="0060281B"/>
    <w:rsid w:val="00604D6E"/>
    <w:rsid w:val="00605844"/>
    <w:rsid w:val="00605F61"/>
    <w:rsid w:val="006117A6"/>
    <w:rsid w:val="00611A0A"/>
    <w:rsid w:val="006125C9"/>
    <w:rsid w:val="00612B05"/>
    <w:rsid w:val="00614028"/>
    <w:rsid w:val="00614EF3"/>
    <w:rsid w:val="00615370"/>
    <w:rsid w:val="00616FD5"/>
    <w:rsid w:val="00617107"/>
    <w:rsid w:val="006179F1"/>
    <w:rsid w:val="00617FD5"/>
    <w:rsid w:val="00620626"/>
    <w:rsid w:val="0062258C"/>
    <w:rsid w:val="00623DC6"/>
    <w:rsid w:val="00625240"/>
    <w:rsid w:val="006266D4"/>
    <w:rsid w:val="00626745"/>
    <w:rsid w:val="00626DE2"/>
    <w:rsid w:val="00627CC5"/>
    <w:rsid w:val="00630075"/>
    <w:rsid w:val="00630527"/>
    <w:rsid w:val="00630F0C"/>
    <w:rsid w:val="00633605"/>
    <w:rsid w:val="006342E7"/>
    <w:rsid w:val="00635DE4"/>
    <w:rsid w:val="00635F4B"/>
    <w:rsid w:val="006369A7"/>
    <w:rsid w:val="00636BE2"/>
    <w:rsid w:val="00637451"/>
    <w:rsid w:val="00637971"/>
    <w:rsid w:val="00637C17"/>
    <w:rsid w:val="00637F30"/>
    <w:rsid w:val="006403AC"/>
    <w:rsid w:val="006429DF"/>
    <w:rsid w:val="00642DF4"/>
    <w:rsid w:val="00646A18"/>
    <w:rsid w:val="00647F98"/>
    <w:rsid w:val="0065009A"/>
    <w:rsid w:val="00650D5F"/>
    <w:rsid w:val="006510A5"/>
    <w:rsid w:val="0065377D"/>
    <w:rsid w:val="006555B8"/>
    <w:rsid w:val="006566DF"/>
    <w:rsid w:val="00656E79"/>
    <w:rsid w:val="00657404"/>
    <w:rsid w:val="006609E7"/>
    <w:rsid w:val="006611F7"/>
    <w:rsid w:val="006615E2"/>
    <w:rsid w:val="00662FEC"/>
    <w:rsid w:val="00664937"/>
    <w:rsid w:val="00665046"/>
    <w:rsid w:val="00670754"/>
    <w:rsid w:val="0067210C"/>
    <w:rsid w:val="0067258B"/>
    <w:rsid w:val="006729A0"/>
    <w:rsid w:val="006801A9"/>
    <w:rsid w:val="0068062E"/>
    <w:rsid w:val="00680C6F"/>
    <w:rsid w:val="00681839"/>
    <w:rsid w:val="0068779E"/>
    <w:rsid w:val="0068796F"/>
    <w:rsid w:val="00687C73"/>
    <w:rsid w:val="006929DA"/>
    <w:rsid w:val="006936D1"/>
    <w:rsid w:val="006A029F"/>
    <w:rsid w:val="006A1186"/>
    <w:rsid w:val="006A273F"/>
    <w:rsid w:val="006A2D4A"/>
    <w:rsid w:val="006A3F71"/>
    <w:rsid w:val="006A4208"/>
    <w:rsid w:val="006A5CA6"/>
    <w:rsid w:val="006A6525"/>
    <w:rsid w:val="006A7466"/>
    <w:rsid w:val="006B1045"/>
    <w:rsid w:val="006B2C4F"/>
    <w:rsid w:val="006B33ED"/>
    <w:rsid w:val="006B3BD8"/>
    <w:rsid w:val="006B4816"/>
    <w:rsid w:val="006B5C07"/>
    <w:rsid w:val="006B6067"/>
    <w:rsid w:val="006B76ED"/>
    <w:rsid w:val="006C048C"/>
    <w:rsid w:val="006C107F"/>
    <w:rsid w:val="006C25C5"/>
    <w:rsid w:val="006C38CB"/>
    <w:rsid w:val="006C51B5"/>
    <w:rsid w:val="006C54C9"/>
    <w:rsid w:val="006C6946"/>
    <w:rsid w:val="006C7678"/>
    <w:rsid w:val="006D0896"/>
    <w:rsid w:val="006D0D40"/>
    <w:rsid w:val="006D1DDD"/>
    <w:rsid w:val="006D1FC9"/>
    <w:rsid w:val="006D4E1F"/>
    <w:rsid w:val="006D6696"/>
    <w:rsid w:val="006E09EC"/>
    <w:rsid w:val="006E281A"/>
    <w:rsid w:val="006E3048"/>
    <w:rsid w:val="006E4844"/>
    <w:rsid w:val="006E611C"/>
    <w:rsid w:val="006F03CC"/>
    <w:rsid w:val="006F15E7"/>
    <w:rsid w:val="006F5CA5"/>
    <w:rsid w:val="006F74C6"/>
    <w:rsid w:val="007007C9"/>
    <w:rsid w:val="007031EA"/>
    <w:rsid w:val="007044DF"/>
    <w:rsid w:val="00707084"/>
    <w:rsid w:val="00707299"/>
    <w:rsid w:val="00707562"/>
    <w:rsid w:val="00710194"/>
    <w:rsid w:val="00712D80"/>
    <w:rsid w:val="00713DBE"/>
    <w:rsid w:val="00713E2D"/>
    <w:rsid w:val="007147F0"/>
    <w:rsid w:val="00714B02"/>
    <w:rsid w:val="00716E7A"/>
    <w:rsid w:val="00717247"/>
    <w:rsid w:val="0071727E"/>
    <w:rsid w:val="00721D7E"/>
    <w:rsid w:val="007232AF"/>
    <w:rsid w:val="00724189"/>
    <w:rsid w:val="00725027"/>
    <w:rsid w:val="00727B09"/>
    <w:rsid w:val="00730D43"/>
    <w:rsid w:val="007315B4"/>
    <w:rsid w:val="00734301"/>
    <w:rsid w:val="00735AC6"/>
    <w:rsid w:val="007362BA"/>
    <w:rsid w:val="00736811"/>
    <w:rsid w:val="00740D98"/>
    <w:rsid w:val="00742282"/>
    <w:rsid w:val="00742472"/>
    <w:rsid w:val="00742E78"/>
    <w:rsid w:val="0074321C"/>
    <w:rsid w:val="00743D31"/>
    <w:rsid w:val="007440DD"/>
    <w:rsid w:val="00745EB9"/>
    <w:rsid w:val="007461F9"/>
    <w:rsid w:val="007467D5"/>
    <w:rsid w:val="00746B41"/>
    <w:rsid w:val="00747416"/>
    <w:rsid w:val="007505CE"/>
    <w:rsid w:val="007506FC"/>
    <w:rsid w:val="00750AED"/>
    <w:rsid w:val="00751F69"/>
    <w:rsid w:val="00753C22"/>
    <w:rsid w:val="00754EF5"/>
    <w:rsid w:val="00755360"/>
    <w:rsid w:val="007554D9"/>
    <w:rsid w:val="007557B1"/>
    <w:rsid w:val="00755CCE"/>
    <w:rsid w:val="00757384"/>
    <w:rsid w:val="00757E93"/>
    <w:rsid w:val="007602A8"/>
    <w:rsid w:val="00767394"/>
    <w:rsid w:val="00767A2A"/>
    <w:rsid w:val="00771E0F"/>
    <w:rsid w:val="0077259C"/>
    <w:rsid w:val="007728D1"/>
    <w:rsid w:val="007749A3"/>
    <w:rsid w:val="00776134"/>
    <w:rsid w:val="00776332"/>
    <w:rsid w:val="007779FC"/>
    <w:rsid w:val="00780484"/>
    <w:rsid w:val="00785E9A"/>
    <w:rsid w:val="007864F6"/>
    <w:rsid w:val="007867DF"/>
    <w:rsid w:val="007904B9"/>
    <w:rsid w:val="00794CFD"/>
    <w:rsid w:val="0079695F"/>
    <w:rsid w:val="00796B1C"/>
    <w:rsid w:val="007A009E"/>
    <w:rsid w:val="007A143C"/>
    <w:rsid w:val="007A178A"/>
    <w:rsid w:val="007A2F94"/>
    <w:rsid w:val="007A38EE"/>
    <w:rsid w:val="007A3CF5"/>
    <w:rsid w:val="007A699C"/>
    <w:rsid w:val="007A71AD"/>
    <w:rsid w:val="007A7445"/>
    <w:rsid w:val="007B17D8"/>
    <w:rsid w:val="007B1D96"/>
    <w:rsid w:val="007B2015"/>
    <w:rsid w:val="007B2873"/>
    <w:rsid w:val="007B3D98"/>
    <w:rsid w:val="007B43A8"/>
    <w:rsid w:val="007B455D"/>
    <w:rsid w:val="007B5272"/>
    <w:rsid w:val="007B58DF"/>
    <w:rsid w:val="007B6D15"/>
    <w:rsid w:val="007B705E"/>
    <w:rsid w:val="007B71B0"/>
    <w:rsid w:val="007C2A20"/>
    <w:rsid w:val="007C3E28"/>
    <w:rsid w:val="007C4369"/>
    <w:rsid w:val="007C4CCB"/>
    <w:rsid w:val="007C5F64"/>
    <w:rsid w:val="007C6AED"/>
    <w:rsid w:val="007C70BA"/>
    <w:rsid w:val="007D085C"/>
    <w:rsid w:val="007D1514"/>
    <w:rsid w:val="007D1A4F"/>
    <w:rsid w:val="007D2C53"/>
    <w:rsid w:val="007D40F0"/>
    <w:rsid w:val="007D4D08"/>
    <w:rsid w:val="007D5454"/>
    <w:rsid w:val="007D6C0D"/>
    <w:rsid w:val="007E1376"/>
    <w:rsid w:val="007E1E31"/>
    <w:rsid w:val="007E2488"/>
    <w:rsid w:val="007E471B"/>
    <w:rsid w:val="007E50A4"/>
    <w:rsid w:val="007E6AC1"/>
    <w:rsid w:val="007F56B8"/>
    <w:rsid w:val="007F576B"/>
    <w:rsid w:val="007F5D15"/>
    <w:rsid w:val="007F5E88"/>
    <w:rsid w:val="007F62BF"/>
    <w:rsid w:val="007F7A79"/>
    <w:rsid w:val="007F7BA5"/>
    <w:rsid w:val="00800BDF"/>
    <w:rsid w:val="00800D80"/>
    <w:rsid w:val="008020BD"/>
    <w:rsid w:val="0080346B"/>
    <w:rsid w:val="00804A62"/>
    <w:rsid w:val="00805278"/>
    <w:rsid w:val="008055B3"/>
    <w:rsid w:val="00805F8D"/>
    <w:rsid w:val="00806262"/>
    <w:rsid w:val="00807E20"/>
    <w:rsid w:val="0081059B"/>
    <w:rsid w:val="0081117C"/>
    <w:rsid w:val="008123A1"/>
    <w:rsid w:val="0081257D"/>
    <w:rsid w:val="00813208"/>
    <w:rsid w:val="008145E8"/>
    <w:rsid w:val="008175FB"/>
    <w:rsid w:val="00820348"/>
    <w:rsid w:val="00821311"/>
    <w:rsid w:val="008252EA"/>
    <w:rsid w:val="00827755"/>
    <w:rsid w:val="00827B52"/>
    <w:rsid w:val="00831109"/>
    <w:rsid w:val="00831848"/>
    <w:rsid w:val="008318F2"/>
    <w:rsid w:val="00832FD9"/>
    <w:rsid w:val="008330C0"/>
    <w:rsid w:val="00833AA5"/>
    <w:rsid w:val="008341BE"/>
    <w:rsid w:val="00837894"/>
    <w:rsid w:val="00841D15"/>
    <w:rsid w:val="0084207A"/>
    <w:rsid w:val="008422BD"/>
    <w:rsid w:val="00842ADA"/>
    <w:rsid w:val="00842BEA"/>
    <w:rsid w:val="00845139"/>
    <w:rsid w:val="00846AB7"/>
    <w:rsid w:val="008470C6"/>
    <w:rsid w:val="00850418"/>
    <w:rsid w:val="00852BA6"/>
    <w:rsid w:val="00854136"/>
    <w:rsid w:val="0085459F"/>
    <w:rsid w:val="0085471F"/>
    <w:rsid w:val="00855491"/>
    <w:rsid w:val="00855686"/>
    <w:rsid w:val="0085642D"/>
    <w:rsid w:val="00857DC6"/>
    <w:rsid w:val="00857E42"/>
    <w:rsid w:val="00860676"/>
    <w:rsid w:val="0086086E"/>
    <w:rsid w:val="00861635"/>
    <w:rsid w:val="00864D50"/>
    <w:rsid w:val="00865E85"/>
    <w:rsid w:val="00867776"/>
    <w:rsid w:val="00872776"/>
    <w:rsid w:val="00874F90"/>
    <w:rsid w:val="0087549F"/>
    <w:rsid w:val="0087578B"/>
    <w:rsid w:val="00875FEC"/>
    <w:rsid w:val="00876BF9"/>
    <w:rsid w:val="00880129"/>
    <w:rsid w:val="00880ED0"/>
    <w:rsid w:val="00882C6D"/>
    <w:rsid w:val="00883B5E"/>
    <w:rsid w:val="00883BFC"/>
    <w:rsid w:val="00884F05"/>
    <w:rsid w:val="0088524A"/>
    <w:rsid w:val="00885812"/>
    <w:rsid w:val="008859F2"/>
    <w:rsid w:val="008911AC"/>
    <w:rsid w:val="008912EA"/>
    <w:rsid w:val="00891E6C"/>
    <w:rsid w:val="00892271"/>
    <w:rsid w:val="00892AA0"/>
    <w:rsid w:val="00895238"/>
    <w:rsid w:val="00895591"/>
    <w:rsid w:val="0089566C"/>
    <w:rsid w:val="0089658B"/>
    <w:rsid w:val="00897EDA"/>
    <w:rsid w:val="008A0CFC"/>
    <w:rsid w:val="008A14B0"/>
    <w:rsid w:val="008A3710"/>
    <w:rsid w:val="008A5017"/>
    <w:rsid w:val="008A7D16"/>
    <w:rsid w:val="008B0BA8"/>
    <w:rsid w:val="008B1ECF"/>
    <w:rsid w:val="008B255F"/>
    <w:rsid w:val="008B293D"/>
    <w:rsid w:val="008B34A7"/>
    <w:rsid w:val="008B49C7"/>
    <w:rsid w:val="008B7B71"/>
    <w:rsid w:val="008C7863"/>
    <w:rsid w:val="008D0FD0"/>
    <w:rsid w:val="008D1556"/>
    <w:rsid w:val="008D2805"/>
    <w:rsid w:val="008E16EB"/>
    <w:rsid w:val="008E201A"/>
    <w:rsid w:val="008E27EE"/>
    <w:rsid w:val="008E4E2D"/>
    <w:rsid w:val="008E66E9"/>
    <w:rsid w:val="008F014D"/>
    <w:rsid w:val="008F0ACB"/>
    <w:rsid w:val="008F4C0E"/>
    <w:rsid w:val="008F53F4"/>
    <w:rsid w:val="008F5993"/>
    <w:rsid w:val="008F6B43"/>
    <w:rsid w:val="008F771B"/>
    <w:rsid w:val="0090236D"/>
    <w:rsid w:val="009023B7"/>
    <w:rsid w:val="0090443D"/>
    <w:rsid w:val="009055E1"/>
    <w:rsid w:val="00905626"/>
    <w:rsid w:val="00905AD8"/>
    <w:rsid w:val="00905F0B"/>
    <w:rsid w:val="0090675E"/>
    <w:rsid w:val="00907B9E"/>
    <w:rsid w:val="00910A54"/>
    <w:rsid w:val="00911241"/>
    <w:rsid w:val="009127D5"/>
    <w:rsid w:val="009151BD"/>
    <w:rsid w:val="009168BA"/>
    <w:rsid w:val="00921DCC"/>
    <w:rsid w:val="00922A0B"/>
    <w:rsid w:val="00922B0D"/>
    <w:rsid w:val="009251AB"/>
    <w:rsid w:val="009251B9"/>
    <w:rsid w:val="00925798"/>
    <w:rsid w:val="00926540"/>
    <w:rsid w:val="0092697F"/>
    <w:rsid w:val="00927020"/>
    <w:rsid w:val="00927425"/>
    <w:rsid w:val="00927BB9"/>
    <w:rsid w:val="00934DA7"/>
    <w:rsid w:val="009368F5"/>
    <w:rsid w:val="00936C64"/>
    <w:rsid w:val="009426CE"/>
    <w:rsid w:val="009432DA"/>
    <w:rsid w:val="00944AC4"/>
    <w:rsid w:val="00944DDC"/>
    <w:rsid w:val="00947974"/>
    <w:rsid w:val="009507CA"/>
    <w:rsid w:val="00951061"/>
    <w:rsid w:val="009511D7"/>
    <w:rsid w:val="0095167B"/>
    <w:rsid w:val="009527BD"/>
    <w:rsid w:val="009534E2"/>
    <w:rsid w:val="009535D6"/>
    <w:rsid w:val="00954348"/>
    <w:rsid w:val="00955C60"/>
    <w:rsid w:val="00957340"/>
    <w:rsid w:val="009575BF"/>
    <w:rsid w:val="00957FE0"/>
    <w:rsid w:val="00960C23"/>
    <w:rsid w:val="009612B8"/>
    <w:rsid w:val="009626AF"/>
    <w:rsid w:val="00962BB0"/>
    <w:rsid w:val="00965DCA"/>
    <w:rsid w:val="0097030B"/>
    <w:rsid w:val="0097113D"/>
    <w:rsid w:val="00973239"/>
    <w:rsid w:val="009761D1"/>
    <w:rsid w:val="009767D6"/>
    <w:rsid w:val="009775C1"/>
    <w:rsid w:val="00980D69"/>
    <w:rsid w:val="00981E37"/>
    <w:rsid w:val="00982A8D"/>
    <w:rsid w:val="00983C19"/>
    <w:rsid w:val="00984BF6"/>
    <w:rsid w:val="00986529"/>
    <w:rsid w:val="0098747B"/>
    <w:rsid w:val="00990522"/>
    <w:rsid w:val="009916AD"/>
    <w:rsid w:val="00991C40"/>
    <w:rsid w:val="00991CAF"/>
    <w:rsid w:val="009921F5"/>
    <w:rsid w:val="00993B44"/>
    <w:rsid w:val="0099536D"/>
    <w:rsid w:val="0099582C"/>
    <w:rsid w:val="00995B98"/>
    <w:rsid w:val="00995BD0"/>
    <w:rsid w:val="00997315"/>
    <w:rsid w:val="009A0B1D"/>
    <w:rsid w:val="009A2366"/>
    <w:rsid w:val="009A3B52"/>
    <w:rsid w:val="009A42A0"/>
    <w:rsid w:val="009A463B"/>
    <w:rsid w:val="009A50AE"/>
    <w:rsid w:val="009A7CB4"/>
    <w:rsid w:val="009A7F7E"/>
    <w:rsid w:val="009B13A6"/>
    <w:rsid w:val="009B1473"/>
    <w:rsid w:val="009B14ED"/>
    <w:rsid w:val="009B2CBF"/>
    <w:rsid w:val="009B3325"/>
    <w:rsid w:val="009B5FAD"/>
    <w:rsid w:val="009B5FDA"/>
    <w:rsid w:val="009B6868"/>
    <w:rsid w:val="009B6BC5"/>
    <w:rsid w:val="009B6DC4"/>
    <w:rsid w:val="009B6F48"/>
    <w:rsid w:val="009B7330"/>
    <w:rsid w:val="009C10C4"/>
    <w:rsid w:val="009C389E"/>
    <w:rsid w:val="009C45D2"/>
    <w:rsid w:val="009C4C95"/>
    <w:rsid w:val="009C7AFD"/>
    <w:rsid w:val="009D1EE7"/>
    <w:rsid w:val="009D2168"/>
    <w:rsid w:val="009D22E8"/>
    <w:rsid w:val="009D2465"/>
    <w:rsid w:val="009D2826"/>
    <w:rsid w:val="009D2F18"/>
    <w:rsid w:val="009D3975"/>
    <w:rsid w:val="009D3DB8"/>
    <w:rsid w:val="009D4757"/>
    <w:rsid w:val="009D5BAF"/>
    <w:rsid w:val="009D676B"/>
    <w:rsid w:val="009D68C1"/>
    <w:rsid w:val="009D7FA4"/>
    <w:rsid w:val="009E0E1A"/>
    <w:rsid w:val="009E1DFE"/>
    <w:rsid w:val="009E2158"/>
    <w:rsid w:val="009E5106"/>
    <w:rsid w:val="009E6C7B"/>
    <w:rsid w:val="009F13AF"/>
    <w:rsid w:val="009F1AA5"/>
    <w:rsid w:val="009F2D73"/>
    <w:rsid w:val="009F2E76"/>
    <w:rsid w:val="009F4FEB"/>
    <w:rsid w:val="009F642D"/>
    <w:rsid w:val="009F6622"/>
    <w:rsid w:val="00A00738"/>
    <w:rsid w:val="00A007D7"/>
    <w:rsid w:val="00A02BE2"/>
    <w:rsid w:val="00A0333E"/>
    <w:rsid w:val="00A04A4A"/>
    <w:rsid w:val="00A04FC4"/>
    <w:rsid w:val="00A05740"/>
    <w:rsid w:val="00A127B4"/>
    <w:rsid w:val="00A15C90"/>
    <w:rsid w:val="00A17138"/>
    <w:rsid w:val="00A176BD"/>
    <w:rsid w:val="00A17972"/>
    <w:rsid w:val="00A20E25"/>
    <w:rsid w:val="00A253CA"/>
    <w:rsid w:val="00A32743"/>
    <w:rsid w:val="00A334B0"/>
    <w:rsid w:val="00A33B87"/>
    <w:rsid w:val="00A36204"/>
    <w:rsid w:val="00A36DBF"/>
    <w:rsid w:val="00A37466"/>
    <w:rsid w:val="00A404C9"/>
    <w:rsid w:val="00A41A5A"/>
    <w:rsid w:val="00A4447C"/>
    <w:rsid w:val="00A446FF"/>
    <w:rsid w:val="00A45152"/>
    <w:rsid w:val="00A45F9C"/>
    <w:rsid w:val="00A46EC4"/>
    <w:rsid w:val="00A473EC"/>
    <w:rsid w:val="00A4778D"/>
    <w:rsid w:val="00A50CF0"/>
    <w:rsid w:val="00A525EF"/>
    <w:rsid w:val="00A535F7"/>
    <w:rsid w:val="00A54163"/>
    <w:rsid w:val="00A548D4"/>
    <w:rsid w:val="00A5595E"/>
    <w:rsid w:val="00A55AA3"/>
    <w:rsid w:val="00A56A92"/>
    <w:rsid w:val="00A604AE"/>
    <w:rsid w:val="00A6273B"/>
    <w:rsid w:val="00A62BE8"/>
    <w:rsid w:val="00A64D01"/>
    <w:rsid w:val="00A67365"/>
    <w:rsid w:val="00A72004"/>
    <w:rsid w:val="00A73766"/>
    <w:rsid w:val="00A746C8"/>
    <w:rsid w:val="00A7481E"/>
    <w:rsid w:val="00A75798"/>
    <w:rsid w:val="00A75D7D"/>
    <w:rsid w:val="00A77059"/>
    <w:rsid w:val="00A8121E"/>
    <w:rsid w:val="00A826E4"/>
    <w:rsid w:val="00A82B60"/>
    <w:rsid w:val="00A838C3"/>
    <w:rsid w:val="00A841C7"/>
    <w:rsid w:val="00A85F03"/>
    <w:rsid w:val="00A86175"/>
    <w:rsid w:val="00A9030E"/>
    <w:rsid w:val="00A90475"/>
    <w:rsid w:val="00A90A6B"/>
    <w:rsid w:val="00A9189D"/>
    <w:rsid w:val="00A924A9"/>
    <w:rsid w:val="00A92F87"/>
    <w:rsid w:val="00A93CC2"/>
    <w:rsid w:val="00A93EEC"/>
    <w:rsid w:val="00A94826"/>
    <w:rsid w:val="00A94E29"/>
    <w:rsid w:val="00A96160"/>
    <w:rsid w:val="00AA10F1"/>
    <w:rsid w:val="00AA283C"/>
    <w:rsid w:val="00AA7B4D"/>
    <w:rsid w:val="00AB144A"/>
    <w:rsid w:val="00AB16A4"/>
    <w:rsid w:val="00AB17D6"/>
    <w:rsid w:val="00AB1C99"/>
    <w:rsid w:val="00AB2AC4"/>
    <w:rsid w:val="00AB512D"/>
    <w:rsid w:val="00AB7CD6"/>
    <w:rsid w:val="00AC1B41"/>
    <w:rsid w:val="00AC5932"/>
    <w:rsid w:val="00AC5E87"/>
    <w:rsid w:val="00AC60A8"/>
    <w:rsid w:val="00AC7C43"/>
    <w:rsid w:val="00AD0A57"/>
    <w:rsid w:val="00AD0D45"/>
    <w:rsid w:val="00AD1654"/>
    <w:rsid w:val="00AD1CE1"/>
    <w:rsid w:val="00AD457A"/>
    <w:rsid w:val="00AD4615"/>
    <w:rsid w:val="00AD5346"/>
    <w:rsid w:val="00AD76A5"/>
    <w:rsid w:val="00AE0669"/>
    <w:rsid w:val="00AE17C0"/>
    <w:rsid w:val="00AE192D"/>
    <w:rsid w:val="00AE1F48"/>
    <w:rsid w:val="00AE2A7A"/>
    <w:rsid w:val="00AE3C3F"/>
    <w:rsid w:val="00AE4020"/>
    <w:rsid w:val="00AE4BED"/>
    <w:rsid w:val="00AE61B3"/>
    <w:rsid w:val="00AE67F5"/>
    <w:rsid w:val="00AE7612"/>
    <w:rsid w:val="00AF05EB"/>
    <w:rsid w:val="00AF0A15"/>
    <w:rsid w:val="00AF10CF"/>
    <w:rsid w:val="00AF2505"/>
    <w:rsid w:val="00AF2923"/>
    <w:rsid w:val="00AF49B9"/>
    <w:rsid w:val="00AF4F6A"/>
    <w:rsid w:val="00AF7608"/>
    <w:rsid w:val="00AF7700"/>
    <w:rsid w:val="00B00BCB"/>
    <w:rsid w:val="00B01A18"/>
    <w:rsid w:val="00B021B2"/>
    <w:rsid w:val="00B047E3"/>
    <w:rsid w:val="00B0559D"/>
    <w:rsid w:val="00B05852"/>
    <w:rsid w:val="00B070B1"/>
    <w:rsid w:val="00B105D3"/>
    <w:rsid w:val="00B125B1"/>
    <w:rsid w:val="00B138A5"/>
    <w:rsid w:val="00B1666D"/>
    <w:rsid w:val="00B204C2"/>
    <w:rsid w:val="00B2105E"/>
    <w:rsid w:val="00B21BCA"/>
    <w:rsid w:val="00B22364"/>
    <w:rsid w:val="00B22CCE"/>
    <w:rsid w:val="00B23397"/>
    <w:rsid w:val="00B2399A"/>
    <w:rsid w:val="00B24AC5"/>
    <w:rsid w:val="00B254AB"/>
    <w:rsid w:val="00B26750"/>
    <w:rsid w:val="00B26CF2"/>
    <w:rsid w:val="00B270A1"/>
    <w:rsid w:val="00B301E1"/>
    <w:rsid w:val="00B32D81"/>
    <w:rsid w:val="00B33545"/>
    <w:rsid w:val="00B3376F"/>
    <w:rsid w:val="00B36ECF"/>
    <w:rsid w:val="00B3799D"/>
    <w:rsid w:val="00B37C17"/>
    <w:rsid w:val="00B40A27"/>
    <w:rsid w:val="00B427D6"/>
    <w:rsid w:val="00B42A3C"/>
    <w:rsid w:val="00B44181"/>
    <w:rsid w:val="00B45779"/>
    <w:rsid w:val="00B45E28"/>
    <w:rsid w:val="00B46FC3"/>
    <w:rsid w:val="00B470FB"/>
    <w:rsid w:val="00B50019"/>
    <w:rsid w:val="00B5006A"/>
    <w:rsid w:val="00B5110B"/>
    <w:rsid w:val="00B51D4D"/>
    <w:rsid w:val="00B51DF6"/>
    <w:rsid w:val="00B52ED7"/>
    <w:rsid w:val="00B53AF5"/>
    <w:rsid w:val="00B600F1"/>
    <w:rsid w:val="00B60417"/>
    <w:rsid w:val="00B60A29"/>
    <w:rsid w:val="00B60A7E"/>
    <w:rsid w:val="00B61C6F"/>
    <w:rsid w:val="00B62971"/>
    <w:rsid w:val="00B63B79"/>
    <w:rsid w:val="00B6429E"/>
    <w:rsid w:val="00B644B5"/>
    <w:rsid w:val="00B65707"/>
    <w:rsid w:val="00B6577E"/>
    <w:rsid w:val="00B66BD3"/>
    <w:rsid w:val="00B67962"/>
    <w:rsid w:val="00B7010A"/>
    <w:rsid w:val="00B70BB8"/>
    <w:rsid w:val="00B70C22"/>
    <w:rsid w:val="00B7124E"/>
    <w:rsid w:val="00B7180A"/>
    <w:rsid w:val="00B7342A"/>
    <w:rsid w:val="00B73A08"/>
    <w:rsid w:val="00B73B1A"/>
    <w:rsid w:val="00B740A1"/>
    <w:rsid w:val="00B751CA"/>
    <w:rsid w:val="00B75AA2"/>
    <w:rsid w:val="00B767F7"/>
    <w:rsid w:val="00B76814"/>
    <w:rsid w:val="00B7702D"/>
    <w:rsid w:val="00B8061A"/>
    <w:rsid w:val="00B81277"/>
    <w:rsid w:val="00B82D8F"/>
    <w:rsid w:val="00B831F0"/>
    <w:rsid w:val="00B832BB"/>
    <w:rsid w:val="00B84530"/>
    <w:rsid w:val="00B86818"/>
    <w:rsid w:val="00B87DA1"/>
    <w:rsid w:val="00B9027A"/>
    <w:rsid w:val="00B92603"/>
    <w:rsid w:val="00B94290"/>
    <w:rsid w:val="00B94402"/>
    <w:rsid w:val="00B96962"/>
    <w:rsid w:val="00B96C57"/>
    <w:rsid w:val="00B97CA6"/>
    <w:rsid w:val="00BA0754"/>
    <w:rsid w:val="00BA0906"/>
    <w:rsid w:val="00BA0989"/>
    <w:rsid w:val="00BA0DA8"/>
    <w:rsid w:val="00BA17E4"/>
    <w:rsid w:val="00BA2745"/>
    <w:rsid w:val="00BA37BE"/>
    <w:rsid w:val="00BA490B"/>
    <w:rsid w:val="00BA5A6C"/>
    <w:rsid w:val="00BA629C"/>
    <w:rsid w:val="00BA6749"/>
    <w:rsid w:val="00BB0FE2"/>
    <w:rsid w:val="00BB2E4A"/>
    <w:rsid w:val="00BB3DE9"/>
    <w:rsid w:val="00BB418A"/>
    <w:rsid w:val="00BB4239"/>
    <w:rsid w:val="00BB47AF"/>
    <w:rsid w:val="00BB47F8"/>
    <w:rsid w:val="00BB5C1B"/>
    <w:rsid w:val="00BC0548"/>
    <w:rsid w:val="00BC18A7"/>
    <w:rsid w:val="00BC1931"/>
    <w:rsid w:val="00BC43DC"/>
    <w:rsid w:val="00BC731C"/>
    <w:rsid w:val="00BC7947"/>
    <w:rsid w:val="00BD0A2E"/>
    <w:rsid w:val="00BD3F38"/>
    <w:rsid w:val="00BD71B2"/>
    <w:rsid w:val="00BE03BD"/>
    <w:rsid w:val="00BE1501"/>
    <w:rsid w:val="00BE2822"/>
    <w:rsid w:val="00BE3917"/>
    <w:rsid w:val="00BE3ACE"/>
    <w:rsid w:val="00BE3C73"/>
    <w:rsid w:val="00BE448D"/>
    <w:rsid w:val="00BE4990"/>
    <w:rsid w:val="00BE70AC"/>
    <w:rsid w:val="00BF17A7"/>
    <w:rsid w:val="00BF2A5C"/>
    <w:rsid w:val="00BF3509"/>
    <w:rsid w:val="00BF3EB1"/>
    <w:rsid w:val="00BF47FD"/>
    <w:rsid w:val="00BF4B19"/>
    <w:rsid w:val="00BF6518"/>
    <w:rsid w:val="00C00582"/>
    <w:rsid w:val="00C01EA4"/>
    <w:rsid w:val="00C02ACE"/>
    <w:rsid w:val="00C032EA"/>
    <w:rsid w:val="00C03CCF"/>
    <w:rsid w:val="00C04C76"/>
    <w:rsid w:val="00C069B5"/>
    <w:rsid w:val="00C109D7"/>
    <w:rsid w:val="00C133FD"/>
    <w:rsid w:val="00C1437A"/>
    <w:rsid w:val="00C1476A"/>
    <w:rsid w:val="00C1595B"/>
    <w:rsid w:val="00C164CF"/>
    <w:rsid w:val="00C170E3"/>
    <w:rsid w:val="00C21133"/>
    <w:rsid w:val="00C22F7D"/>
    <w:rsid w:val="00C24967"/>
    <w:rsid w:val="00C24A81"/>
    <w:rsid w:val="00C25371"/>
    <w:rsid w:val="00C27084"/>
    <w:rsid w:val="00C278CF"/>
    <w:rsid w:val="00C27C30"/>
    <w:rsid w:val="00C30AB0"/>
    <w:rsid w:val="00C32B16"/>
    <w:rsid w:val="00C33D35"/>
    <w:rsid w:val="00C33F9F"/>
    <w:rsid w:val="00C37723"/>
    <w:rsid w:val="00C40D44"/>
    <w:rsid w:val="00C41D00"/>
    <w:rsid w:val="00C4260C"/>
    <w:rsid w:val="00C42691"/>
    <w:rsid w:val="00C4403F"/>
    <w:rsid w:val="00C446F5"/>
    <w:rsid w:val="00C44F00"/>
    <w:rsid w:val="00C46721"/>
    <w:rsid w:val="00C46ECF"/>
    <w:rsid w:val="00C50263"/>
    <w:rsid w:val="00C50B7C"/>
    <w:rsid w:val="00C5355F"/>
    <w:rsid w:val="00C5396B"/>
    <w:rsid w:val="00C54652"/>
    <w:rsid w:val="00C54D7C"/>
    <w:rsid w:val="00C55D77"/>
    <w:rsid w:val="00C56AE1"/>
    <w:rsid w:val="00C57689"/>
    <w:rsid w:val="00C60342"/>
    <w:rsid w:val="00C61115"/>
    <w:rsid w:val="00C64309"/>
    <w:rsid w:val="00C70145"/>
    <w:rsid w:val="00C71077"/>
    <w:rsid w:val="00C71433"/>
    <w:rsid w:val="00C71D40"/>
    <w:rsid w:val="00C72BD5"/>
    <w:rsid w:val="00C76C40"/>
    <w:rsid w:val="00C76DC0"/>
    <w:rsid w:val="00C77823"/>
    <w:rsid w:val="00C77D16"/>
    <w:rsid w:val="00C80B36"/>
    <w:rsid w:val="00C80C26"/>
    <w:rsid w:val="00C814C8"/>
    <w:rsid w:val="00C81C14"/>
    <w:rsid w:val="00C836E0"/>
    <w:rsid w:val="00C84B22"/>
    <w:rsid w:val="00C84B73"/>
    <w:rsid w:val="00C856FE"/>
    <w:rsid w:val="00C9194A"/>
    <w:rsid w:val="00C93885"/>
    <w:rsid w:val="00C940BA"/>
    <w:rsid w:val="00C943A9"/>
    <w:rsid w:val="00C943E4"/>
    <w:rsid w:val="00C945DA"/>
    <w:rsid w:val="00C95B02"/>
    <w:rsid w:val="00C96BCE"/>
    <w:rsid w:val="00CA2EEF"/>
    <w:rsid w:val="00CA34D3"/>
    <w:rsid w:val="00CA3FAB"/>
    <w:rsid w:val="00CA40D2"/>
    <w:rsid w:val="00CA4112"/>
    <w:rsid w:val="00CA63D0"/>
    <w:rsid w:val="00CA6EE4"/>
    <w:rsid w:val="00CA7514"/>
    <w:rsid w:val="00CB0356"/>
    <w:rsid w:val="00CB3080"/>
    <w:rsid w:val="00CB54B3"/>
    <w:rsid w:val="00CB5F72"/>
    <w:rsid w:val="00CB6A17"/>
    <w:rsid w:val="00CC10CC"/>
    <w:rsid w:val="00CC1271"/>
    <w:rsid w:val="00CC1908"/>
    <w:rsid w:val="00CC20AF"/>
    <w:rsid w:val="00CC2512"/>
    <w:rsid w:val="00CC2C5A"/>
    <w:rsid w:val="00CC33C7"/>
    <w:rsid w:val="00CC66D7"/>
    <w:rsid w:val="00CC73D1"/>
    <w:rsid w:val="00CC768B"/>
    <w:rsid w:val="00CD198A"/>
    <w:rsid w:val="00CD258E"/>
    <w:rsid w:val="00CD2C67"/>
    <w:rsid w:val="00CD338F"/>
    <w:rsid w:val="00CD3571"/>
    <w:rsid w:val="00CD492A"/>
    <w:rsid w:val="00CD657D"/>
    <w:rsid w:val="00CD6D0A"/>
    <w:rsid w:val="00CD6D8F"/>
    <w:rsid w:val="00CD6ECC"/>
    <w:rsid w:val="00CE1D77"/>
    <w:rsid w:val="00CE291E"/>
    <w:rsid w:val="00CE3699"/>
    <w:rsid w:val="00CE3F3D"/>
    <w:rsid w:val="00CE60F1"/>
    <w:rsid w:val="00CE6A0F"/>
    <w:rsid w:val="00CF04D2"/>
    <w:rsid w:val="00CF09FD"/>
    <w:rsid w:val="00CF13E4"/>
    <w:rsid w:val="00CF2B74"/>
    <w:rsid w:val="00CF79A2"/>
    <w:rsid w:val="00D01034"/>
    <w:rsid w:val="00D03F4E"/>
    <w:rsid w:val="00D04E4B"/>
    <w:rsid w:val="00D0630C"/>
    <w:rsid w:val="00D069F7"/>
    <w:rsid w:val="00D06B5C"/>
    <w:rsid w:val="00D06BEC"/>
    <w:rsid w:val="00D0765A"/>
    <w:rsid w:val="00D076DC"/>
    <w:rsid w:val="00D11020"/>
    <w:rsid w:val="00D11460"/>
    <w:rsid w:val="00D1187A"/>
    <w:rsid w:val="00D11983"/>
    <w:rsid w:val="00D12A90"/>
    <w:rsid w:val="00D13851"/>
    <w:rsid w:val="00D142C7"/>
    <w:rsid w:val="00D14637"/>
    <w:rsid w:val="00D146E7"/>
    <w:rsid w:val="00D156F5"/>
    <w:rsid w:val="00D20005"/>
    <w:rsid w:val="00D20A44"/>
    <w:rsid w:val="00D23067"/>
    <w:rsid w:val="00D24065"/>
    <w:rsid w:val="00D24897"/>
    <w:rsid w:val="00D24F9E"/>
    <w:rsid w:val="00D259CF"/>
    <w:rsid w:val="00D25EFB"/>
    <w:rsid w:val="00D26B2E"/>
    <w:rsid w:val="00D27972"/>
    <w:rsid w:val="00D32382"/>
    <w:rsid w:val="00D32504"/>
    <w:rsid w:val="00D352FC"/>
    <w:rsid w:val="00D35B13"/>
    <w:rsid w:val="00D37ABD"/>
    <w:rsid w:val="00D403C7"/>
    <w:rsid w:val="00D4153E"/>
    <w:rsid w:val="00D41D45"/>
    <w:rsid w:val="00D42895"/>
    <w:rsid w:val="00D42BBF"/>
    <w:rsid w:val="00D43274"/>
    <w:rsid w:val="00D44A53"/>
    <w:rsid w:val="00D465CC"/>
    <w:rsid w:val="00D46859"/>
    <w:rsid w:val="00D50585"/>
    <w:rsid w:val="00D514AB"/>
    <w:rsid w:val="00D5245C"/>
    <w:rsid w:val="00D528C0"/>
    <w:rsid w:val="00D536C9"/>
    <w:rsid w:val="00D53EDA"/>
    <w:rsid w:val="00D55241"/>
    <w:rsid w:val="00D556AD"/>
    <w:rsid w:val="00D56A62"/>
    <w:rsid w:val="00D5784B"/>
    <w:rsid w:val="00D64C3D"/>
    <w:rsid w:val="00D65754"/>
    <w:rsid w:val="00D66397"/>
    <w:rsid w:val="00D704BE"/>
    <w:rsid w:val="00D715FB"/>
    <w:rsid w:val="00D716FF"/>
    <w:rsid w:val="00D717F2"/>
    <w:rsid w:val="00D71F6B"/>
    <w:rsid w:val="00D74802"/>
    <w:rsid w:val="00D756C3"/>
    <w:rsid w:val="00D757B1"/>
    <w:rsid w:val="00D75845"/>
    <w:rsid w:val="00D7675D"/>
    <w:rsid w:val="00D80502"/>
    <w:rsid w:val="00D809C9"/>
    <w:rsid w:val="00D81911"/>
    <w:rsid w:val="00D81C54"/>
    <w:rsid w:val="00D81CA2"/>
    <w:rsid w:val="00D81E67"/>
    <w:rsid w:val="00D830D6"/>
    <w:rsid w:val="00D84EED"/>
    <w:rsid w:val="00D85E49"/>
    <w:rsid w:val="00D87457"/>
    <w:rsid w:val="00D9062C"/>
    <w:rsid w:val="00D90777"/>
    <w:rsid w:val="00D91E4E"/>
    <w:rsid w:val="00D9258A"/>
    <w:rsid w:val="00D94090"/>
    <w:rsid w:val="00D94CDD"/>
    <w:rsid w:val="00D964BE"/>
    <w:rsid w:val="00DA00E0"/>
    <w:rsid w:val="00DA0836"/>
    <w:rsid w:val="00DA08D8"/>
    <w:rsid w:val="00DA190F"/>
    <w:rsid w:val="00DA1CB0"/>
    <w:rsid w:val="00DA2242"/>
    <w:rsid w:val="00DA289E"/>
    <w:rsid w:val="00DA4050"/>
    <w:rsid w:val="00DA4186"/>
    <w:rsid w:val="00DA5B67"/>
    <w:rsid w:val="00DA7CBE"/>
    <w:rsid w:val="00DA7D16"/>
    <w:rsid w:val="00DB3BBF"/>
    <w:rsid w:val="00DB3E67"/>
    <w:rsid w:val="00DB4354"/>
    <w:rsid w:val="00DB50A3"/>
    <w:rsid w:val="00DB5C35"/>
    <w:rsid w:val="00DC016B"/>
    <w:rsid w:val="00DC02D8"/>
    <w:rsid w:val="00DC0688"/>
    <w:rsid w:val="00DC0A52"/>
    <w:rsid w:val="00DC21AC"/>
    <w:rsid w:val="00DC287D"/>
    <w:rsid w:val="00DC4BAB"/>
    <w:rsid w:val="00DC55D2"/>
    <w:rsid w:val="00DC5DEF"/>
    <w:rsid w:val="00DC7B76"/>
    <w:rsid w:val="00DD0714"/>
    <w:rsid w:val="00DD1AAA"/>
    <w:rsid w:val="00DD34A6"/>
    <w:rsid w:val="00DD3FEB"/>
    <w:rsid w:val="00DD45E2"/>
    <w:rsid w:val="00DD4D9B"/>
    <w:rsid w:val="00DD56C6"/>
    <w:rsid w:val="00DD6C90"/>
    <w:rsid w:val="00DE045C"/>
    <w:rsid w:val="00DE47CB"/>
    <w:rsid w:val="00DE5003"/>
    <w:rsid w:val="00DE5CCE"/>
    <w:rsid w:val="00DE6D3D"/>
    <w:rsid w:val="00DF02F8"/>
    <w:rsid w:val="00DF17F8"/>
    <w:rsid w:val="00DF32C0"/>
    <w:rsid w:val="00DF35EE"/>
    <w:rsid w:val="00DF4593"/>
    <w:rsid w:val="00DF4E8C"/>
    <w:rsid w:val="00DF51FB"/>
    <w:rsid w:val="00E00A75"/>
    <w:rsid w:val="00E033A5"/>
    <w:rsid w:val="00E059DA"/>
    <w:rsid w:val="00E06580"/>
    <w:rsid w:val="00E06851"/>
    <w:rsid w:val="00E072E7"/>
    <w:rsid w:val="00E075BF"/>
    <w:rsid w:val="00E1049B"/>
    <w:rsid w:val="00E11F65"/>
    <w:rsid w:val="00E12C47"/>
    <w:rsid w:val="00E13173"/>
    <w:rsid w:val="00E1468F"/>
    <w:rsid w:val="00E14AF8"/>
    <w:rsid w:val="00E1755C"/>
    <w:rsid w:val="00E2045E"/>
    <w:rsid w:val="00E21109"/>
    <w:rsid w:val="00E22648"/>
    <w:rsid w:val="00E2315C"/>
    <w:rsid w:val="00E239FF"/>
    <w:rsid w:val="00E243B9"/>
    <w:rsid w:val="00E2522E"/>
    <w:rsid w:val="00E259E3"/>
    <w:rsid w:val="00E41FA8"/>
    <w:rsid w:val="00E42A19"/>
    <w:rsid w:val="00E46C2C"/>
    <w:rsid w:val="00E5020B"/>
    <w:rsid w:val="00E5193E"/>
    <w:rsid w:val="00E5665F"/>
    <w:rsid w:val="00E57647"/>
    <w:rsid w:val="00E602D4"/>
    <w:rsid w:val="00E63914"/>
    <w:rsid w:val="00E63B0C"/>
    <w:rsid w:val="00E660CC"/>
    <w:rsid w:val="00E6758A"/>
    <w:rsid w:val="00E6768A"/>
    <w:rsid w:val="00E70934"/>
    <w:rsid w:val="00E70EC4"/>
    <w:rsid w:val="00E710A3"/>
    <w:rsid w:val="00E7148A"/>
    <w:rsid w:val="00E714B1"/>
    <w:rsid w:val="00E71FD0"/>
    <w:rsid w:val="00E7327A"/>
    <w:rsid w:val="00E732D0"/>
    <w:rsid w:val="00E73313"/>
    <w:rsid w:val="00E73419"/>
    <w:rsid w:val="00E73543"/>
    <w:rsid w:val="00E7392E"/>
    <w:rsid w:val="00E7629B"/>
    <w:rsid w:val="00E8285B"/>
    <w:rsid w:val="00E830C9"/>
    <w:rsid w:val="00E85866"/>
    <w:rsid w:val="00E86048"/>
    <w:rsid w:val="00E86901"/>
    <w:rsid w:val="00E86B8C"/>
    <w:rsid w:val="00E87715"/>
    <w:rsid w:val="00E9061C"/>
    <w:rsid w:val="00E906B9"/>
    <w:rsid w:val="00E909D2"/>
    <w:rsid w:val="00E923D3"/>
    <w:rsid w:val="00E960DD"/>
    <w:rsid w:val="00E96F57"/>
    <w:rsid w:val="00EA0285"/>
    <w:rsid w:val="00EA2DC4"/>
    <w:rsid w:val="00EA4699"/>
    <w:rsid w:val="00EA5EEE"/>
    <w:rsid w:val="00EA6300"/>
    <w:rsid w:val="00EB021A"/>
    <w:rsid w:val="00EB05CA"/>
    <w:rsid w:val="00EB0AF7"/>
    <w:rsid w:val="00EB24C0"/>
    <w:rsid w:val="00EB2610"/>
    <w:rsid w:val="00EB3EF8"/>
    <w:rsid w:val="00EB62ED"/>
    <w:rsid w:val="00EB697C"/>
    <w:rsid w:val="00EB7288"/>
    <w:rsid w:val="00EB7D3E"/>
    <w:rsid w:val="00EC2B62"/>
    <w:rsid w:val="00EC2FAF"/>
    <w:rsid w:val="00EC388D"/>
    <w:rsid w:val="00EC4C84"/>
    <w:rsid w:val="00EC5031"/>
    <w:rsid w:val="00EC5BAE"/>
    <w:rsid w:val="00ED1563"/>
    <w:rsid w:val="00ED17BF"/>
    <w:rsid w:val="00ED1A5C"/>
    <w:rsid w:val="00ED205A"/>
    <w:rsid w:val="00ED2C14"/>
    <w:rsid w:val="00ED360E"/>
    <w:rsid w:val="00ED39FB"/>
    <w:rsid w:val="00ED4889"/>
    <w:rsid w:val="00ED4E82"/>
    <w:rsid w:val="00ED569C"/>
    <w:rsid w:val="00ED581C"/>
    <w:rsid w:val="00ED58E2"/>
    <w:rsid w:val="00ED5965"/>
    <w:rsid w:val="00ED6EE1"/>
    <w:rsid w:val="00ED6F1A"/>
    <w:rsid w:val="00EE1AF9"/>
    <w:rsid w:val="00EE2A03"/>
    <w:rsid w:val="00EE2C93"/>
    <w:rsid w:val="00EE498C"/>
    <w:rsid w:val="00EE4E57"/>
    <w:rsid w:val="00EE5C34"/>
    <w:rsid w:val="00EE6AAC"/>
    <w:rsid w:val="00EF080F"/>
    <w:rsid w:val="00EF1347"/>
    <w:rsid w:val="00EF1495"/>
    <w:rsid w:val="00EF1DDF"/>
    <w:rsid w:val="00EF2160"/>
    <w:rsid w:val="00EF2FB8"/>
    <w:rsid w:val="00EF398E"/>
    <w:rsid w:val="00EF41A5"/>
    <w:rsid w:val="00EF59C8"/>
    <w:rsid w:val="00EF59CA"/>
    <w:rsid w:val="00EF5B77"/>
    <w:rsid w:val="00F040B6"/>
    <w:rsid w:val="00F056C5"/>
    <w:rsid w:val="00F0643F"/>
    <w:rsid w:val="00F0655E"/>
    <w:rsid w:val="00F070A6"/>
    <w:rsid w:val="00F10509"/>
    <w:rsid w:val="00F10B55"/>
    <w:rsid w:val="00F11449"/>
    <w:rsid w:val="00F12911"/>
    <w:rsid w:val="00F12A58"/>
    <w:rsid w:val="00F136A7"/>
    <w:rsid w:val="00F14977"/>
    <w:rsid w:val="00F14C9F"/>
    <w:rsid w:val="00F14D03"/>
    <w:rsid w:val="00F154DF"/>
    <w:rsid w:val="00F17F46"/>
    <w:rsid w:val="00F204CE"/>
    <w:rsid w:val="00F205A0"/>
    <w:rsid w:val="00F255D8"/>
    <w:rsid w:val="00F2644E"/>
    <w:rsid w:val="00F26468"/>
    <w:rsid w:val="00F26B7F"/>
    <w:rsid w:val="00F3009D"/>
    <w:rsid w:val="00F31D1F"/>
    <w:rsid w:val="00F31EF2"/>
    <w:rsid w:val="00F32C4E"/>
    <w:rsid w:val="00F33162"/>
    <w:rsid w:val="00F345C6"/>
    <w:rsid w:val="00F34B45"/>
    <w:rsid w:val="00F36BB1"/>
    <w:rsid w:val="00F42DD8"/>
    <w:rsid w:val="00F45599"/>
    <w:rsid w:val="00F46AE3"/>
    <w:rsid w:val="00F5112D"/>
    <w:rsid w:val="00F5160D"/>
    <w:rsid w:val="00F51782"/>
    <w:rsid w:val="00F55341"/>
    <w:rsid w:val="00F55720"/>
    <w:rsid w:val="00F55B6F"/>
    <w:rsid w:val="00F56AD7"/>
    <w:rsid w:val="00F56B43"/>
    <w:rsid w:val="00F5718F"/>
    <w:rsid w:val="00F62E13"/>
    <w:rsid w:val="00F648B3"/>
    <w:rsid w:val="00F65815"/>
    <w:rsid w:val="00F67BE4"/>
    <w:rsid w:val="00F67C30"/>
    <w:rsid w:val="00F67D6F"/>
    <w:rsid w:val="00F71B5A"/>
    <w:rsid w:val="00F71E7F"/>
    <w:rsid w:val="00F71F22"/>
    <w:rsid w:val="00F72285"/>
    <w:rsid w:val="00F745E0"/>
    <w:rsid w:val="00F7466A"/>
    <w:rsid w:val="00F75160"/>
    <w:rsid w:val="00F75BAE"/>
    <w:rsid w:val="00F75F0F"/>
    <w:rsid w:val="00F7683C"/>
    <w:rsid w:val="00F77ECD"/>
    <w:rsid w:val="00F80931"/>
    <w:rsid w:val="00F811A9"/>
    <w:rsid w:val="00F864AA"/>
    <w:rsid w:val="00F86580"/>
    <w:rsid w:val="00F90E5B"/>
    <w:rsid w:val="00F9134E"/>
    <w:rsid w:val="00F91909"/>
    <w:rsid w:val="00F9328F"/>
    <w:rsid w:val="00F942E1"/>
    <w:rsid w:val="00F9430E"/>
    <w:rsid w:val="00F947A5"/>
    <w:rsid w:val="00F95813"/>
    <w:rsid w:val="00F95ACC"/>
    <w:rsid w:val="00F96235"/>
    <w:rsid w:val="00F96D5B"/>
    <w:rsid w:val="00F971F3"/>
    <w:rsid w:val="00F9726F"/>
    <w:rsid w:val="00F976FC"/>
    <w:rsid w:val="00F97E4A"/>
    <w:rsid w:val="00FA0046"/>
    <w:rsid w:val="00FA01BF"/>
    <w:rsid w:val="00FA18BF"/>
    <w:rsid w:val="00FA22CD"/>
    <w:rsid w:val="00FA2C70"/>
    <w:rsid w:val="00FA2C8F"/>
    <w:rsid w:val="00FA340C"/>
    <w:rsid w:val="00FA6AC6"/>
    <w:rsid w:val="00FB0C15"/>
    <w:rsid w:val="00FB2930"/>
    <w:rsid w:val="00FB4A82"/>
    <w:rsid w:val="00FB4BDE"/>
    <w:rsid w:val="00FB4E5F"/>
    <w:rsid w:val="00FB5954"/>
    <w:rsid w:val="00FB5E66"/>
    <w:rsid w:val="00FB7E5D"/>
    <w:rsid w:val="00FC17ED"/>
    <w:rsid w:val="00FC30B4"/>
    <w:rsid w:val="00FC3398"/>
    <w:rsid w:val="00FC795E"/>
    <w:rsid w:val="00FD39D9"/>
    <w:rsid w:val="00FD40A8"/>
    <w:rsid w:val="00FD4335"/>
    <w:rsid w:val="00FD4C9E"/>
    <w:rsid w:val="00FD4DEC"/>
    <w:rsid w:val="00FD6098"/>
    <w:rsid w:val="00FD71D2"/>
    <w:rsid w:val="00FD7736"/>
    <w:rsid w:val="00FD7818"/>
    <w:rsid w:val="00FE0C27"/>
    <w:rsid w:val="00FE1C71"/>
    <w:rsid w:val="00FE2AF8"/>
    <w:rsid w:val="00FE4A43"/>
    <w:rsid w:val="00FE4D8A"/>
    <w:rsid w:val="00FE56E8"/>
    <w:rsid w:val="00FE5C28"/>
    <w:rsid w:val="00FE64FD"/>
    <w:rsid w:val="00FE7681"/>
    <w:rsid w:val="00FF0007"/>
    <w:rsid w:val="00FF22EE"/>
    <w:rsid w:val="00FF233D"/>
    <w:rsid w:val="00FF29E4"/>
    <w:rsid w:val="00FF40A5"/>
    <w:rsid w:val="0F6F4F5A"/>
    <w:rsid w:val="2B7A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uiPriority w:val="99"/>
    <w:rPr>
      <w:b/>
      <w:bCs/>
    </w:r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 w:type="paragraph" w:customStyle="1" w:styleId="16">
    <w:name w:val="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17">
    <w:name w:val="批注文字 Char"/>
    <w:basedOn w:val="9"/>
    <w:link w:val="3"/>
    <w:semiHidden/>
    <w:qFormat/>
    <w:uiPriority w:val="99"/>
  </w:style>
  <w:style w:type="character" w:customStyle="1" w:styleId="18">
    <w:name w:val="批注主题 Char"/>
    <w:basedOn w:val="17"/>
    <w:link w:val="7"/>
    <w:semiHidden/>
    <w:qFormat/>
    <w:uiPriority w:val="99"/>
    <w:rPr>
      <w:b/>
      <w:bCs/>
    </w:rPr>
  </w:style>
  <w:style w:type="character" w:customStyle="1" w:styleId="19">
    <w:name w:val="标题 1 Char"/>
    <w:basedOn w:val="9"/>
    <w:link w:val="2"/>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E7157-CEC5-4145-9CE6-2112F7E77D75}">
  <ds:schemaRefs/>
</ds:datastoreItem>
</file>

<file path=docProps/app.xml><?xml version="1.0" encoding="utf-8"?>
<Properties xmlns="http://schemas.openxmlformats.org/officeDocument/2006/extended-properties" xmlns:vt="http://schemas.openxmlformats.org/officeDocument/2006/docPropsVTypes">
  <Template>Normal</Template>
  <Pages>11</Pages>
  <Words>921</Words>
  <Characters>5252</Characters>
  <Lines>43</Lines>
  <Paragraphs>12</Paragraphs>
  <TotalTime>16</TotalTime>
  <ScaleCrop>false</ScaleCrop>
  <LinksUpToDate>false</LinksUpToDate>
  <CharactersWithSpaces>6161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2020-05-21T01:50:00Z</dcterms:created>
  <dc:creator>Alex JI</dc:creator>
  <cp:lastModifiedBy>WPS_1504871374</cp:lastModifiedBy>
  <cp:lastPrinted>2020-07-23T03:16:00Z</cp:lastPrinted>
  <dcterms:modified xsi:type="dcterms:W3CDTF">2020-09-21T06:47:18Z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