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方正小标宋简体" w:eastAsia="方正小标宋简体" w:cs="方正小标宋简体"/>
          <w:bCs/>
          <w:sz w:val="40"/>
          <w:szCs w:val="44"/>
        </w:rPr>
      </w:pPr>
      <w:r>
        <w:rPr>
          <w:rFonts w:hint="eastAsia" w:ascii="方正小标宋简体" w:hAnsi="方正小标宋简体" w:eastAsia="方正小标宋简体" w:cs="方正小标宋简体"/>
          <w:bCs/>
          <w:sz w:val="40"/>
          <w:szCs w:val="44"/>
        </w:rPr>
        <w:t>佛山高新技术产业开发区管理委员会关于</w:t>
      </w:r>
    </w:p>
    <w:p>
      <w:pPr>
        <w:adjustRightInd w:val="0"/>
        <w:snapToGrid w:val="0"/>
        <w:spacing w:line="600" w:lineRule="exact"/>
        <w:jc w:val="center"/>
        <w:rPr>
          <w:rFonts w:ascii="方正小标宋简体" w:hAnsi="方正小标宋简体" w:eastAsia="方正小标宋简体" w:cs="方正小标宋简体"/>
          <w:bCs/>
          <w:sz w:val="40"/>
          <w:szCs w:val="44"/>
        </w:rPr>
      </w:pPr>
      <w:r>
        <w:rPr>
          <w:rFonts w:hint="eastAsia" w:ascii="方正小标宋简体" w:hAnsi="方正小标宋简体" w:eastAsia="方正小标宋简体" w:cs="方正小标宋简体"/>
          <w:bCs/>
          <w:sz w:val="40"/>
          <w:szCs w:val="44"/>
        </w:rPr>
        <w:t>独角兽（潜在、</w:t>
      </w:r>
      <w:r>
        <w:rPr>
          <w:rFonts w:ascii="方正小标宋简体" w:hAnsi="方正小标宋简体" w:eastAsia="方正小标宋简体" w:cs="方正小标宋简体"/>
          <w:bCs/>
          <w:sz w:val="40"/>
          <w:szCs w:val="44"/>
        </w:rPr>
        <w:t>种子</w:t>
      </w:r>
      <w:r>
        <w:rPr>
          <w:rFonts w:hint="eastAsia" w:ascii="方正小标宋简体" w:hAnsi="方正小标宋简体" w:eastAsia="方正小标宋简体" w:cs="方正小标宋简体"/>
          <w:bCs/>
          <w:sz w:val="40"/>
          <w:szCs w:val="44"/>
        </w:rPr>
        <w:t>）企业的认定及资助实施细则</w:t>
      </w:r>
    </w:p>
    <w:p>
      <w:pPr>
        <w:rPr>
          <w:rFonts w:ascii="仿宋_GB2312" w:eastAsia="仿宋_GB2312"/>
          <w:sz w:val="32"/>
          <w:szCs w:val="32"/>
        </w:rPr>
      </w:pPr>
      <w:bookmarkStart w:id="0" w:name="_GoBack"/>
      <w:bookmarkEnd w:id="0"/>
    </w:p>
    <w:p>
      <w:pPr>
        <w:adjustRightInd w:val="0"/>
        <w:snapToGrid w:val="0"/>
        <w:spacing w:line="540" w:lineRule="exact"/>
        <w:jc w:val="center"/>
        <w:rPr>
          <w:rFonts w:eastAsia="黑体"/>
          <w:bCs/>
          <w:sz w:val="32"/>
          <w:szCs w:val="32"/>
          <w:shd w:val="clear" w:color="auto" w:fill="FFFFFF"/>
        </w:rPr>
      </w:pPr>
      <w:r>
        <w:rPr>
          <w:rFonts w:eastAsia="黑体"/>
          <w:bCs/>
          <w:sz w:val="32"/>
          <w:szCs w:val="32"/>
          <w:shd w:val="clear" w:color="auto" w:fill="FFFFFF"/>
        </w:rPr>
        <w:t>第一章  总则</w:t>
      </w:r>
    </w:p>
    <w:p>
      <w:pPr>
        <w:spacing w:line="560" w:lineRule="exact"/>
        <w:ind w:firstLine="640" w:firstLineChars="200"/>
        <w:rPr>
          <w:rFonts w:eastAsia="仿宋_GB2312"/>
          <w:sz w:val="32"/>
          <w:szCs w:val="22"/>
          <w:shd w:val="clear" w:color="auto" w:fill="FFFFFF"/>
        </w:rPr>
      </w:pPr>
      <w:r>
        <w:rPr>
          <w:rFonts w:eastAsia="黑体"/>
          <w:bCs/>
          <w:sz w:val="32"/>
          <w:szCs w:val="32"/>
        </w:rPr>
        <w:t>第一条</w:t>
      </w:r>
      <w:r>
        <w:rPr>
          <w:rFonts w:eastAsia="仿宋_GB2312"/>
          <w:bCs/>
          <w:sz w:val="32"/>
          <w:szCs w:val="32"/>
        </w:rPr>
        <w:t xml:space="preserve"> </w:t>
      </w:r>
      <w:r>
        <w:rPr>
          <w:rFonts w:eastAsia="仿宋_GB2312"/>
          <w:sz w:val="32"/>
          <w:szCs w:val="32"/>
        </w:rPr>
        <w:t>为</w:t>
      </w:r>
      <w:r>
        <w:rPr>
          <w:rFonts w:eastAsia="仿宋_GB2312"/>
          <w:kern w:val="0"/>
          <w:sz w:val="32"/>
          <w:szCs w:val="32"/>
        </w:rPr>
        <w:t>贯彻落实国家创新驱动发展战略，</w:t>
      </w:r>
      <w:r>
        <w:rPr>
          <w:rFonts w:eastAsia="仿宋_GB2312"/>
          <w:sz w:val="32"/>
          <w:szCs w:val="32"/>
        </w:rPr>
        <w:t>加快培育和引进一批爆发式成长的独角兽（潜在、种子）企业，</w:t>
      </w:r>
      <w:r>
        <w:rPr>
          <w:rFonts w:eastAsia="仿宋_GB2312"/>
          <w:kern w:val="0"/>
          <w:sz w:val="32"/>
          <w:szCs w:val="32"/>
        </w:rPr>
        <w:t>打造华南地区先进制造业独角兽企业总部集聚区</w:t>
      </w:r>
      <w:r>
        <w:rPr>
          <w:rFonts w:eastAsia="仿宋_GB2312"/>
          <w:sz w:val="32"/>
          <w:szCs w:val="32"/>
        </w:rPr>
        <w:t>，</w:t>
      </w:r>
      <w:r>
        <w:rPr>
          <w:rFonts w:eastAsia="仿宋_GB2312"/>
          <w:sz w:val="32"/>
          <w:szCs w:val="22"/>
          <w:shd w:val="clear" w:color="auto" w:fill="FFFFFF"/>
        </w:rPr>
        <w:t>佛山高新区管委会决定开展独角兽（潜在、种子）企业认定及扶持工作，特制定本细则。</w:t>
      </w:r>
    </w:p>
    <w:p>
      <w:pPr>
        <w:spacing w:line="560" w:lineRule="exact"/>
        <w:ind w:firstLine="640" w:firstLineChars="200"/>
        <w:rPr>
          <w:rFonts w:eastAsia="仿宋"/>
          <w:sz w:val="32"/>
          <w:szCs w:val="22"/>
          <w:shd w:val="clear" w:color="auto" w:fill="FFFFFF"/>
        </w:rPr>
      </w:pPr>
      <w:r>
        <w:rPr>
          <w:rFonts w:eastAsia="黑体"/>
          <w:sz w:val="32"/>
          <w:szCs w:val="22"/>
          <w:shd w:val="clear" w:color="auto" w:fill="FFFFFF"/>
        </w:rPr>
        <w:t xml:space="preserve">第二条 </w:t>
      </w:r>
      <w:r>
        <w:rPr>
          <w:rFonts w:eastAsia="仿宋_GB2312"/>
          <w:sz w:val="32"/>
          <w:szCs w:val="22"/>
          <w:shd w:val="clear" w:color="auto" w:fill="FFFFFF"/>
        </w:rPr>
        <w:t>正式认定的佛山高新区独角兽（潜在、种子）</w:t>
      </w:r>
      <w:r>
        <w:rPr>
          <w:rFonts w:eastAsia="仿宋_GB2312"/>
          <w:bCs/>
          <w:sz w:val="32"/>
          <w:szCs w:val="32"/>
        </w:rPr>
        <w:t>企业</w:t>
      </w:r>
      <w:r>
        <w:rPr>
          <w:rFonts w:eastAsia="仿宋_GB2312"/>
          <w:sz w:val="32"/>
          <w:szCs w:val="22"/>
          <w:shd w:val="clear" w:color="auto" w:fill="FFFFFF"/>
        </w:rPr>
        <w:t>有效期为1年，到期后可再次申请认定。</w:t>
      </w:r>
    </w:p>
    <w:p>
      <w:pPr>
        <w:spacing w:line="560" w:lineRule="exact"/>
        <w:ind w:firstLine="640" w:firstLineChars="200"/>
        <w:rPr>
          <w:rFonts w:eastAsia="仿宋_GB2312"/>
          <w:bCs/>
          <w:sz w:val="32"/>
          <w:szCs w:val="32"/>
        </w:rPr>
      </w:pPr>
      <w:r>
        <w:rPr>
          <w:rFonts w:eastAsia="黑体"/>
          <w:bCs/>
          <w:sz w:val="32"/>
          <w:szCs w:val="32"/>
        </w:rPr>
        <w:t xml:space="preserve">第三条 </w:t>
      </w:r>
      <w:r>
        <w:rPr>
          <w:rFonts w:eastAsia="仿宋_GB2312"/>
          <w:bCs/>
          <w:sz w:val="32"/>
          <w:szCs w:val="32"/>
        </w:rPr>
        <w:t>佛山高新区管委会在佛山高新区经济发展专项资金中安排</w:t>
      </w:r>
      <w:r>
        <w:rPr>
          <w:rFonts w:hint="eastAsia" w:eastAsia="仿宋_GB2312"/>
          <w:bCs/>
          <w:sz w:val="32"/>
          <w:szCs w:val="32"/>
        </w:rPr>
        <w:t>一定数量</w:t>
      </w:r>
      <w:r>
        <w:rPr>
          <w:rFonts w:eastAsia="仿宋_GB2312"/>
          <w:bCs/>
          <w:sz w:val="32"/>
          <w:szCs w:val="32"/>
        </w:rPr>
        <w:t>财政资金用于支持</w:t>
      </w:r>
      <w:r>
        <w:rPr>
          <w:rFonts w:eastAsia="仿宋_GB2312"/>
          <w:sz w:val="32"/>
          <w:szCs w:val="22"/>
          <w:shd w:val="clear" w:color="auto" w:fill="FFFFFF"/>
        </w:rPr>
        <w:t>独角兽（潜在、种子）</w:t>
      </w:r>
      <w:r>
        <w:rPr>
          <w:rFonts w:eastAsia="仿宋_GB2312"/>
          <w:bCs/>
          <w:sz w:val="32"/>
          <w:szCs w:val="32"/>
        </w:rPr>
        <w:t>企业认定，年度支持一批企业认定为</w:t>
      </w:r>
      <w:r>
        <w:rPr>
          <w:rFonts w:eastAsia="仿宋_GB2312"/>
          <w:sz w:val="32"/>
          <w:szCs w:val="22"/>
          <w:shd w:val="clear" w:color="auto" w:fill="FFFFFF"/>
        </w:rPr>
        <w:t>独角兽（潜在、种子）</w:t>
      </w:r>
      <w:r>
        <w:rPr>
          <w:rFonts w:eastAsia="仿宋_GB2312"/>
          <w:bCs/>
          <w:sz w:val="32"/>
          <w:szCs w:val="32"/>
        </w:rPr>
        <w:t>企业，</w:t>
      </w:r>
      <w:r>
        <w:rPr>
          <w:rFonts w:eastAsia="仿宋_GB2312"/>
          <w:kern w:val="0"/>
          <w:sz w:val="32"/>
          <w:szCs w:val="32"/>
        </w:rPr>
        <w:t>着力推动</w:t>
      </w:r>
      <w:r>
        <w:rPr>
          <w:rFonts w:eastAsia="仿宋_GB2312"/>
          <w:sz w:val="32"/>
          <w:szCs w:val="22"/>
        </w:rPr>
        <w:t>佛山市深入开展制造业转型升级综合试点和国家创新型城市建设</w:t>
      </w:r>
      <w:r>
        <w:rPr>
          <w:rFonts w:eastAsia="仿宋_GB2312"/>
          <w:bCs/>
          <w:sz w:val="32"/>
          <w:szCs w:val="32"/>
        </w:rPr>
        <w:t>。</w:t>
      </w:r>
    </w:p>
    <w:p>
      <w:pPr>
        <w:spacing w:line="560" w:lineRule="exact"/>
        <w:ind w:firstLine="640" w:firstLineChars="200"/>
        <w:rPr>
          <w:rFonts w:eastAsia="仿宋_GB2312"/>
          <w:sz w:val="32"/>
          <w:szCs w:val="32"/>
        </w:rPr>
      </w:pPr>
    </w:p>
    <w:p>
      <w:pPr>
        <w:spacing w:line="580" w:lineRule="exact"/>
        <w:jc w:val="center"/>
        <w:rPr>
          <w:rFonts w:eastAsia="黑体"/>
          <w:sz w:val="32"/>
          <w:szCs w:val="32"/>
        </w:rPr>
      </w:pPr>
      <w:r>
        <w:rPr>
          <w:rFonts w:eastAsia="黑体"/>
          <w:sz w:val="32"/>
          <w:szCs w:val="32"/>
        </w:rPr>
        <w:t>第二章  职责分工</w:t>
      </w:r>
    </w:p>
    <w:p>
      <w:pPr>
        <w:spacing w:line="580" w:lineRule="exact"/>
        <w:ind w:firstLine="640" w:firstLineChars="200"/>
        <w:rPr>
          <w:rFonts w:eastAsia="仿宋_GB2312"/>
          <w:sz w:val="32"/>
          <w:szCs w:val="32"/>
        </w:rPr>
      </w:pPr>
      <w:r>
        <w:rPr>
          <w:rFonts w:eastAsia="黑体"/>
          <w:sz w:val="32"/>
          <w:szCs w:val="32"/>
        </w:rPr>
        <w:t xml:space="preserve">第四条 </w:t>
      </w:r>
      <w:r>
        <w:rPr>
          <w:rFonts w:eastAsia="仿宋_GB2312"/>
          <w:sz w:val="32"/>
          <w:szCs w:val="32"/>
        </w:rPr>
        <w:t>佛山高新区管委会科技创新局（知识产权局）（以下简称科创局）的主要职责是：编制</w:t>
      </w:r>
      <w:r>
        <w:rPr>
          <w:rFonts w:eastAsia="仿宋_GB2312"/>
          <w:sz w:val="32"/>
          <w:szCs w:val="22"/>
          <w:shd w:val="clear" w:color="auto" w:fill="FFFFFF"/>
        </w:rPr>
        <w:t>独角兽（潜在、种子）企业</w:t>
      </w:r>
      <w:r>
        <w:rPr>
          <w:rFonts w:eastAsia="仿宋_GB2312"/>
          <w:sz w:val="32"/>
          <w:szCs w:val="32"/>
        </w:rPr>
        <w:t>的认定及资助实施细则；编制申报指南和通知，组织开展项目申报、评审、立项、结题等工作；组织开展绩效评价；接受佛山高新区管委会规划和财政局、佛山高新区纪工委等的监督。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eastAsia="仿宋_GB2312"/>
          <w:sz w:val="32"/>
          <w:szCs w:val="32"/>
        </w:rPr>
      </w:pPr>
      <w:r>
        <w:rPr>
          <w:rFonts w:eastAsia="黑体"/>
          <w:sz w:val="32"/>
          <w:szCs w:val="32"/>
        </w:rPr>
        <w:t xml:space="preserve">第五条 </w:t>
      </w:r>
      <w:r>
        <w:rPr>
          <w:rFonts w:eastAsia="仿宋_GB2312"/>
          <w:sz w:val="32"/>
          <w:szCs w:val="32"/>
        </w:rPr>
        <w:t>佛山高新区管委会规划和财政局（以下简称规财局）的主要职责是：按规定办理资金拨付；监督专项资金使用。</w:t>
      </w:r>
    </w:p>
    <w:p>
      <w:pPr>
        <w:spacing w:line="580" w:lineRule="exact"/>
        <w:ind w:firstLine="640" w:firstLineChars="200"/>
        <w:rPr>
          <w:rFonts w:eastAsia="仿宋"/>
          <w:sz w:val="32"/>
          <w:szCs w:val="32"/>
        </w:rPr>
      </w:pPr>
      <w:r>
        <w:rPr>
          <w:rFonts w:eastAsia="黑体"/>
          <w:sz w:val="32"/>
          <w:szCs w:val="32"/>
        </w:rPr>
        <w:t>第六条</w:t>
      </w:r>
      <w:r>
        <w:rPr>
          <w:rFonts w:eastAsia="仿宋"/>
          <w:sz w:val="32"/>
          <w:szCs w:val="32"/>
        </w:rPr>
        <w:t xml:space="preserve"> </w:t>
      </w:r>
      <w:r>
        <w:rPr>
          <w:rFonts w:eastAsia="仿宋_GB2312"/>
          <w:sz w:val="32"/>
          <w:szCs w:val="32"/>
        </w:rPr>
        <w:t>佛山高新区各园区管理局（以下简称各园区管理局）的主要职责是：协助开展项目申报、评审及资金拨付等工作；按</w:t>
      </w:r>
      <w:r>
        <w:rPr>
          <w:rFonts w:hint="eastAsia" w:eastAsia="仿宋_GB2312"/>
          <w:sz w:val="32"/>
          <w:szCs w:val="32"/>
        </w:rPr>
        <w:t>评审</w:t>
      </w:r>
      <w:r>
        <w:rPr>
          <w:rFonts w:eastAsia="仿宋_GB2312"/>
          <w:sz w:val="32"/>
          <w:szCs w:val="32"/>
        </w:rPr>
        <w:t>结果</w:t>
      </w:r>
      <w:r>
        <w:rPr>
          <w:rFonts w:hint="eastAsia" w:eastAsia="仿宋_GB2312"/>
          <w:sz w:val="32"/>
          <w:szCs w:val="32"/>
        </w:rPr>
        <w:t>及各</w:t>
      </w:r>
      <w:r>
        <w:rPr>
          <w:rFonts w:eastAsia="仿宋_GB2312"/>
          <w:sz w:val="32"/>
          <w:szCs w:val="32"/>
        </w:rPr>
        <w:t>园区政策兑现安排给予项目资金配套支持；对</w:t>
      </w:r>
      <w:r>
        <w:rPr>
          <w:rFonts w:eastAsia="仿宋_GB2312"/>
          <w:sz w:val="32"/>
          <w:szCs w:val="32"/>
          <w:lang w:bidi="ar"/>
        </w:rPr>
        <w:t>辖区内项目承担单位资金的使用进行指导与监督；</w:t>
      </w:r>
      <w:r>
        <w:rPr>
          <w:rFonts w:eastAsia="仿宋_GB2312"/>
          <w:sz w:val="32"/>
          <w:szCs w:val="32"/>
        </w:rPr>
        <w:t>接受佛山高新区管委会（科创局）业务指导和监督。</w:t>
      </w:r>
    </w:p>
    <w:p>
      <w:pPr>
        <w:spacing w:line="580" w:lineRule="exact"/>
        <w:ind w:firstLine="640" w:firstLineChars="200"/>
        <w:rPr>
          <w:rFonts w:eastAsia="仿宋"/>
          <w:sz w:val="32"/>
          <w:szCs w:val="32"/>
        </w:rPr>
      </w:pPr>
      <w:r>
        <w:rPr>
          <w:rFonts w:eastAsia="黑体"/>
          <w:sz w:val="32"/>
          <w:szCs w:val="32"/>
        </w:rPr>
        <w:t>第七条</w:t>
      </w:r>
      <w:r>
        <w:rPr>
          <w:rFonts w:eastAsia="仿宋"/>
          <w:sz w:val="32"/>
          <w:szCs w:val="32"/>
        </w:rPr>
        <w:t xml:space="preserve"> </w:t>
      </w:r>
      <w:r>
        <w:rPr>
          <w:rFonts w:eastAsia="仿宋_GB2312"/>
          <w:sz w:val="32"/>
          <w:szCs w:val="32"/>
        </w:rPr>
        <w:t>项目承担（申报）单位的主要职责是：按规定参与项目申报；建立健全单位内部经费管理制度，加强财务管理；负责具体项目实施和资金使用；接受有关部门监督检查。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eastAsia="仿宋"/>
          <w:sz w:val="32"/>
          <w:szCs w:val="32"/>
        </w:rPr>
      </w:pPr>
      <w:r>
        <w:rPr>
          <w:rFonts w:eastAsia="黑体"/>
          <w:sz w:val="32"/>
          <w:szCs w:val="32"/>
        </w:rPr>
        <w:t>第八条</w:t>
      </w:r>
      <w:r>
        <w:rPr>
          <w:rFonts w:eastAsia="仿宋"/>
          <w:sz w:val="32"/>
          <w:szCs w:val="32"/>
        </w:rPr>
        <w:t xml:space="preserve"> </w:t>
      </w:r>
      <w:r>
        <w:rPr>
          <w:rFonts w:eastAsia="仿宋_GB2312"/>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eastAsia="仿宋_GB2312"/>
          <w:sz w:val="32"/>
          <w:szCs w:val="32"/>
        </w:rPr>
      </w:pPr>
      <w:r>
        <w:rPr>
          <w:rFonts w:eastAsia="黑体"/>
          <w:sz w:val="32"/>
          <w:szCs w:val="32"/>
        </w:rPr>
        <w:t>第九条</w:t>
      </w:r>
      <w:r>
        <w:rPr>
          <w:rFonts w:eastAsia="仿宋"/>
          <w:sz w:val="32"/>
          <w:szCs w:val="32"/>
        </w:rPr>
        <w:t xml:space="preserve"> </w:t>
      </w:r>
      <w:r>
        <w:rPr>
          <w:rFonts w:eastAsia="仿宋_GB2312"/>
          <w:sz w:val="32"/>
          <w:szCs w:val="32"/>
        </w:rPr>
        <w:t>专家的主要职责是：独立、客观、公正地提供个人专业评审、评估或咨询意见；依法尊重项目承担（申报）单位的知识产权，严格保守项目的技术和商业秘密；接受相关部门的监督。</w:t>
      </w:r>
    </w:p>
    <w:p>
      <w:pPr>
        <w:spacing w:line="560" w:lineRule="exact"/>
        <w:ind w:firstLine="640" w:firstLineChars="200"/>
        <w:rPr>
          <w:rFonts w:eastAsia="仿宋_GB2312"/>
          <w:sz w:val="32"/>
          <w:szCs w:val="32"/>
        </w:rPr>
      </w:pPr>
      <w:r>
        <w:rPr>
          <w:rFonts w:eastAsia="黑体"/>
          <w:sz w:val="32"/>
          <w:szCs w:val="32"/>
        </w:rPr>
        <w:t>第十条</w:t>
      </w:r>
      <w:r>
        <w:rPr>
          <w:rFonts w:eastAsia="仿宋"/>
          <w:sz w:val="32"/>
          <w:szCs w:val="32"/>
        </w:rPr>
        <w:t xml:space="preserve"> </w:t>
      </w:r>
      <w:r>
        <w:rPr>
          <w:rFonts w:hint="eastAsia" w:eastAsia="仿宋_GB2312"/>
          <w:sz w:val="32"/>
          <w:szCs w:val="32"/>
        </w:rPr>
        <w:t>佛山高新区纪检监察工委与各园区管理局纪检监察机构按照</w:t>
      </w:r>
      <w:r>
        <w:rPr>
          <w:rFonts w:ascii="仿宋_GB2312" w:eastAsia="仿宋_GB2312"/>
          <w:sz w:val="32"/>
          <w:szCs w:val="32"/>
        </w:rPr>
        <w:t>“</w:t>
      </w:r>
      <w:r>
        <w:rPr>
          <w:rFonts w:hint="eastAsia" w:ascii="仿宋_GB2312" w:eastAsia="仿宋_GB2312"/>
          <w:sz w:val="32"/>
          <w:szCs w:val="32"/>
        </w:rPr>
        <w:t>分级负责、属地管理”“谁主管、谁负责”</w:t>
      </w:r>
      <w:r>
        <w:rPr>
          <w:rFonts w:hint="eastAsia" w:eastAsia="仿宋_GB2312"/>
          <w:sz w:val="32"/>
          <w:szCs w:val="32"/>
        </w:rPr>
        <w:t>，对专项资金管理、分配、使用与绩效情况进行监督。</w:t>
      </w:r>
      <w:r>
        <w:rPr>
          <w:rFonts w:eastAsia="仿宋_GB2312"/>
          <w:sz w:val="32"/>
          <w:szCs w:val="32"/>
        </w:rPr>
        <w:t>。</w:t>
      </w:r>
    </w:p>
    <w:p>
      <w:pPr>
        <w:spacing w:line="560" w:lineRule="exact"/>
        <w:ind w:firstLine="640" w:firstLineChars="200"/>
        <w:rPr>
          <w:rFonts w:eastAsia="仿宋_GB2312"/>
          <w:sz w:val="32"/>
          <w:szCs w:val="32"/>
        </w:rPr>
      </w:pPr>
    </w:p>
    <w:p>
      <w:pPr>
        <w:spacing w:line="560" w:lineRule="exact"/>
        <w:jc w:val="center"/>
        <w:rPr>
          <w:rFonts w:eastAsia="仿宋_GB2312"/>
          <w:sz w:val="32"/>
          <w:szCs w:val="32"/>
        </w:rPr>
      </w:pPr>
      <w:r>
        <w:rPr>
          <w:rFonts w:eastAsia="黑体"/>
          <w:sz w:val="32"/>
          <w:szCs w:val="32"/>
        </w:rPr>
        <w:t>第三章 认定条件</w:t>
      </w:r>
    </w:p>
    <w:p>
      <w:pPr>
        <w:spacing w:line="560" w:lineRule="exact"/>
        <w:ind w:firstLine="640" w:firstLineChars="200"/>
        <w:rPr>
          <w:rFonts w:eastAsia="仿宋_GB2312"/>
          <w:sz w:val="32"/>
          <w:szCs w:val="32"/>
        </w:rPr>
      </w:pPr>
      <w:r>
        <w:rPr>
          <w:rFonts w:eastAsia="黑体"/>
          <w:sz w:val="32"/>
          <w:szCs w:val="32"/>
        </w:rPr>
        <w:t xml:space="preserve">第十一条 </w:t>
      </w:r>
      <w:r>
        <w:rPr>
          <w:rFonts w:eastAsia="仿宋_GB2312"/>
          <w:sz w:val="32"/>
          <w:szCs w:val="32"/>
        </w:rPr>
        <w:t>申报“</w:t>
      </w:r>
      <w:r>
        <w:rPr>
          <w:rFonts w:eastAsia="仿宋_GB2312"/>
          <w:sz w:val="32"/>
          <w:szCs w:val="22"/>
          <w:shd w:val="clear" w:color="auto" w:fill="FFFFFF"/>
        </w:rPr>
        <w:t>独角兽（潜在、种子）</w:t>
      </w:r>
      <w:r>
        <w:rPr>
          <w:rFonts w:eastAsia="仿宋_GB2312"/>
          <w:sz w:val="32"/>
          <w:szCs w:val="32"/>
        </w:rPr>
        <w:t>企业”的企业须满足以下条件：</w:t>
      </w: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申报单位必须是在佛山高新区范围内依法设立并具有独立法人资格或纳入火炬统计的单位，信用记录良好，财务会计制度健全，</w:t>
      </w:r>
      <w:r>
        <w:rPr>
          <w:rFonts w:eastAsia="仿宋_GB2312"/>
          <w:sz w:val="32"/>
          <w:szCs w:val="32"/>
        </w:rPr>
        <w:t>符合佛山高新区产业发展方向，无违法记录，无重大安全事故和失信行为。</w:t>
      </w:r>
    </w:p>
    <w:p>
      <w:pPr>
        <w:spacing w:line="560" w:lineRule="exact"/>
        <w:ind w:firstLine="643" w:firstLineChars="200"/>
        <w:rPr>
          <w:rFonts w:eastAsia="仿宋_GB2312"/>
          <w:sz w:val="32"/>
          <w:szCs w:val="32"/>
        </w:rPr>
      </w:pPr>
      <w:r>
        <w:rPr>
          <w:rFonts w:eastAsia="仿宋_GB2312"/>
          <w:b/>
          <w:sz w:val="32"/>
          <w:szCs w:val="32"/>
        </w:rPr>
        <w:t>（二）独角兽企业还须满足以下条件</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1.企业成立时间不超过10年；</w:t>
      </w:r>
    </w:p>
    <w:p>
      <w:pPr>
        <w:spacing w:line="560" w:lineRule="exact"/>
        <w:ind w:firstLine="640" w:firstLineChars="200"/>
        <w:rPr>
          <w:rFonts w:eastAsia="仿宋_GB2312"/>
          <w:sz w:val="32"/>
          <w:szCs w:val="32"/>
        </w:rPr>
      </w:pPr>
      <w:r>
        <w:rPr>
          <w:rFonts w:eastAsia="仿宋_GB2312"/>
          <w:sz w:val="32"/>
          <w:szCs w:val="32"/>
        </w:rPr>
        <w:t>2.获得过私募投资，且尚未上市（不含新三板挂牌）；</w:t>
      </w:r>
    </w:p>
    <w:p>
      <w:pPr>
        <w:spacing w:line="560" w:lineRule="exact"/>
        <w:ind w:firstLine="640" w:firstLineChars="200"/>
        <w:rPr>
          <w:rFonts w:eastAsia="仿宋_GB2312"/>
          <w:sz w:val="32"/>
          <w:szCs w:val="32"/>
        </w:rPr>
      </w:pPr>
      <w:r>
        <w:rPr>
          <w:rFonts w:eastAsia="仿宋_GB2312"/>
          <w:sz w:val="32"/>
          <w:szCs w:val="32"/>
        </w:rPr>
        <w:t>3.企业估值超过60亿元（含）人民币。</w:t>
      </w:r>
    </w:p>
    <w:p>
      <w:pPr>
        <w:spacing w:line="560" w:lineRule="exact"/>
        <w:ind w:firstLine="643" w:firstLineChars="200"/>
        <w:rPr>
          <w:rFonts w:eastAsia="仿宋_GB2312"/>
          <w:sz w:val="32"/>
          <w:szCs w:val="32"/>
        </w:rPr>
      </w:pPr>
      <w:r>
        <w:rPr>
          <w:rFonts w:eastAsia="仿宋_GB2312"/>
          <w:b/>
          <w:sz w:val="32"/>
          <w:szCs w:val="32"/>
        </w:rPr>
        <w:t>（三）潜在独角兽企业还须满足以下条件</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1.企业成立时间10年以内（不含）；</w:t>
      </w:r>
    </w:p>
    <w:p>
      <w:pPr>
        <w:spacing w:line="560" w:lineRule="exact"/>
        <w:ind w:firstLine="640" w:firstLineChars="200"/>
        <w:rPr>
          <w:rFonts w:eastAsia="仿宋_GB2312"/>
          <w:sz w:val="32"/>
          <w:szCs w:val="32"/>
        </w:rPr>
      </w:pPr>
      <w:r>
        <w:rPr>
          <w:rFonts w:eastAsia="仿宋_GB2312"/>
          <w:sz w:val="32"/>
          <w:szCs w:val="32"/>
        </w:rPr>
        <w:t>2.获得过私募投资，且尚未上市（不含新三板挂牌）；</w:t>
      </w:r>
    </w:p>
    <w:p>
      <w:pPr>
        <w:spacing w:line="560" w:lineRule="exact"/>
        <w:ind w:firstLine="640" w:firstLineChars="200"/>
        <w:rPr>
          <w:rFonts w:eastAsia="仿宋_GB2312"/>
          <w:sz w:val="32"/>
          <w:szCs w:val="32"/>
        </w:rPr>
      </w:pPr>
      <w:r>
        <w:rPr>
          <w:rFonts w:eastAsia="仿宋_GB2312"/>
          <w:sz w:val="32"/>
          <w:szCs w:val="32"/>
        </w:rPr>
        <w:t>3.企业成立5年以内（不含），估值不小于6亿元人民币；</w:t>
      </w:r>
    </w:p>
    <w:p>
      <w:pPr>
        <w:spacing w:line="560" w:lineRule="exact"/>
        <w:ind w:firstLine="640" w:firstLineChars="200"/>
        <w:rPr>
          <w:rFonts w:eastAsia="仿宋_GB2312"/>
          <w:sz w:val="32"/>
          <w:szCs w:val="32"/>
        </w:rPr>
      </w:pPr>
      <w:r>
        <w:rPr>
          <w:rFonts w:eastAsia="仿宋_GB2312"/>
          <w:sz w:val="32"/>
          <w:szCs w:val="32"/>
        </w:rPr>
        <w:t>4.企业成立5至9年的，估值不小于30亿元人民币。</w:t>
      </w:r>
    </w:p>
    <w:p>
      <w:pPr>
        <w:spacing w:line="550" w:lineRule="exact"/>
        <w:ind w:firstLine="643" w:firstLineChars="200"/>
        <w:rPr>
          <w:rFonts w:eastAsia="楷体"/>
          <w:b/>
          <w:bCs/>
          <w:sz w:val="32"/>
          <w:szCs w:val="22"/>
        </w:rPr>
      </w:pPr>
      <w:r>
        <w:rPr>
          <w:rFonts w:eastAsia="楷体"/>
          <w:b/>
          <w:bCs/>
          <w:sz w:val="32"/>
          <w:szCs w:val="22"/>
        </w:rPr>
        <w:t>（四）</w:t>
      </w:r>
      <w:r>
        <w:rPr>
          <w:rFonts w:eastAsia="仿宋_GB2312"/>
          <w:b/>
          <w:sz w:val="32"/>
          <w:szCs w:val="32"/>
        </w:rPr>
        <w:t>种子独角兽企业还须满足以下条件：</w:t>
      </w:r>
    </w:p>
    <w:p>
      <w:pPr>
        <w:spacing w:line="560" w:lineRule="exact"/>
        <w:ind w:firstLine="640" w:firstLineChars="200"/>
        <w:rPr>
          <w:rFonts w:eastAsia="仿宋_GB2312"/>
          <w:sz w:val="32"/>
          <w:szCs w:val="32"/>
        </w:rPr>
      </w:pPr>
      <w:r>
        <w:rPr>
          <w:rFonts w:eastAsia="仿宋_GB2312"/>
          <w:sz w:val="32"/>
          <w:szCs w:val="32"/>
        </w:rPr>
        <w:t>1.企业成立时间5年以内（不含）；</w:t>
      </w:r>
    </w:p>
    <w:p>
      <w:pPr>
        <w:spacing w:line="550" w:lineRule="exact"/>
        <w:ind w:firstLine="640" w:firstLineChars="200"/>
        <w:rPr>
          <w:rFonts w:eastAsia="仿宋_GB2312"/>
          <w:sz w:val="32"/>
          <w:szCs w:val="22"/>
        </w:rPr>
      </w:pPr>
      <w:r>
        <w:rPr>
          <w:rFonts w:eastAsia="仿宋_GB2312"/>
          <w:sz w:val="32"/>
          <w:szCs w:val="22"/>
        </w:rPr>
        <w:t>2.属于新技术、新产业、新业态和新模式等四新领域，具有跨界、平台、自成长等属性；</w:t>
      </w:r>
    </w:p>
    <w:p>
      <w:pPr>
        <w:spacing w:line="550" w:lineRule="exact"/>
        <w:ind w:firstLine="640" w:firstLineChars="200"/>
        <w:rPr>
          <w:rFonts w:eastAsia="仿宋_GB2312"/>
          <w:sz w:val="32"/>
          <w:szCs w:val="22"/>
        </w:rPr>
      </w:pPr>
      <w:r>
        <w:rPr>
          <w:rFonts w:eastAsia="仿宋_GB2312"/>
          <w:sz w:val="32"/>
          <w:szCs w:val="22"/>
        </w:rPr>
        <w:t>3.获得过投资，且尚未上市（不含新三板挂牌）；</w:t>
      </w:r>
    </w:p>
    <w:p>
      <w:pPr>
        <w:spacing w:line="550" w:lineRule="exact"/>
        <w:ind w:firstLine="640" w:firstLineChars="200"/>
        <w:rPr>
          <w:rFonts w:eastAsia="仿宋_GB2312"/>
          <w:sz w:val="32"/>
          <w:szCs w:val="32"/>
        </w:rPr>
      </w:pPr>
      <w:r>
        <w:rPr>
          <w:rFonts w:eastAsia="仿宋_GB2312"/>
          <w:sz w:val="32"/>
          <w:szCs w:val="22"/>
        </w:rPr>
        <w:t>4.企业估值超过1亿元（含）人民币。</w:t>
      </w:r>
    </w:p>
    <w:p>
      <w:pPr>
        <w:spacing w:line="550" w:lineRule="exact"/>
        <w:ind w:firstLine="643" w:firstLineChars="200"/>
        <w:rPr>
          <w:rFonts w:eastAsia="楷体"/>
          <w:b/>
          <w:bCs/>
          <w:sz w:val="32"/>
          <w:szCs w:val="22"/>
        </w:rPr>
      </w:pPr>
      <w:r>
        <w:rPr>
          <w:rFonts w:hint="eastAsia" w:eastAsia="楷体"/>
          <w:b/>
          <w:bCs/>
          <w:sz w:val="32"/>
          <w:szCs w:val="22"/>
        </w:rPr>
        <w:t>（五）申报</w:t>
      </w:r>
      <w:r>
        <w:rPr>
          <w:rFonts w:eastAsia="楷体"/>
          <w:b/>
          <w:bCs/>
          <w:sz w:val="32"/>
          <w:szCs w:val="22"/>
        </w:rPr>
        <w:t>指南</w:t>
      </w:r>
      <w:r>
        <w:rPr>
          <w:rFonts w:hint="eastAsia" w:eastAsia="楷体"/>
          <w:b/>
          <w:bCs/>
          <w:sz w:val="32"/>
          <w:szCs w:val="22"/>
        </w:rPr>
        <w:t>明确</w:t>
      </w:r>
      <w:r>
        <w:rPr>
          <w:rFonts w:eastAsia="楷体"/>
          <w:b/>
          <w:bCs/>
          <w:sz w:val="32"/>
          <w:szCs w:val="22"/>
        </w:rPr>
        <w:t>的其他条件。</w:t>
      </w:r>
    </w:p>
    <w:p>
      <w:pPr>
        <w:spacing w:line="580" w:lineRule="exact"/>
        <w:jc w:val="center"/>
        <w:rPr>
          <w:rFonts w:eastAsia="黑体"/>
          <w:sz w:val="32"/>
          <w:szCs w:val="32"/>
        </w:rPr>
      </w:pPr>
      <w:r>
        <w:rPr>
          <w:rFonts w:eastAsia="黑体"/>
          <w:sz w:val="32"/>
          <w:szCs w:val="32"/>
        </w:rPr>
        <w:t>第四章 认定程序及资助政策</w:t>
      </w:r>
    </w:p>
    <w:p>
      <w:pPr>
        <w:spacing w:line="580" w:lineRule="exact"/>
        <w:ind w:firstLine="640" w:firstLineChars="200"/>
        <w:rPr>
          <w:rFonts w:eastAsia="仿宋"/>
          <w:sz w:val="32"/>
          <w:szCs w:val="32"/>
        </w:rPr>
      </w:pPr>
      <w:r>
        <w:rPr>
          <w:rFonts w:eastAsia="黑体"/>
          <w:bCs/>
          <w:sz w:val="32"/>
          <w:szCs w:val="32"/>
          <w:lang w:bidi="ar"/>
        </w:rPr>
        <w:t>第十二条</w:t>
      </w:r>
      <w:r>
        <w:rPr>
          <w:rFonts w:eastAsia="仿宋"/>
          <w:sz w:val="32"/>
          <w:szCs w:val="32"/>
          <w:lang w:bidi="ar"/>
        </w:rPr>
        <w:t xml:space="preserve"> </w:t>
      </w:r>
      <w:r>
        <w:rPr>
          <w:rFonts w:eastAsia="仿宋_GB2312"/>
          <w:sz w:val="32"/>
          <w:szCs w:val="32"/>
          <w:lang w:bidi="ar"/>
        </w:rPr>
        <w:t>佛山高新区管委会根据工作计划和目标，按照“申报、评审、审议、公示和公布”流程，开展</w:t>
      </w:r>
      <w:r>
        <w:rPr>
          <w:rFonts w:eastAsia="仿宋_GB2312"/>
          <w:sz w:val="32"/>
          <w:szCs w:val="22"/>
          <w:shd w:val="clear" w:color="auto" w:fill="FFFFFF"/>
        </w:rPr>
        <w:t>独角兽（潜在、种子）</w:t>
      </w:r>
      <w:r>
        <w:rPr>
          <w:rFonts w:eastAsia="仿宋_GB2312"/>
          <w:sz w:val="32"/>
          <w:szCs w:val="32"/>
          <w:lang w:bidi="ar"/>
        </w:rPr>
        <w:t>企业认定工作。</w:t>
      </w:r>
    </w:p>
    <w:p>
      <w:pPr>
        <w:autoSpaceDE w:val="0"/>
        <w:spacing w:line="580" w:lineRule="exact"/>
        <w:ind w:firstLine="643" w:firstLineChars="200"/>
        <w:rPr>
          <w:rFonts w:eastAsia="楷体"/>
          <w:b/>
          <w:bCs/>
          <w:sz w:val="32"/>
          <w:szCs w:val="32"/>
        </w:rPr>
      </w:pPr>
      <w:r>
        <w:rPr>
          <w:rFonts w:eastAsia="楷体"/>
          <w:b/>
          <w:bCs/>
          <w:sz w:val="32"/>
          <w:szCs w:val="32"/>
          <w:lang w:bidi="ar"/>
        </w:rPr>
        <w:t>（一）申报</w:t>
      </w:r>
    </w:p>
    <w:p>
      <w:pPr>
        <w:autoSpaceDE w:val="0"/>
        <w:spacing w:line="580" w:lineRule="exact"/>
        <w:ind w:firstLine="640" w:firstLineChars="200"/>
        <w:rPr>
          <w:rFonts w:eastAsia="仿宋_GB2312"/>
          <w:sz w:val="32"/>
          <w:szCs w:val="32"/>
          <w:lang w:bidi="ar"/>
        </w:rPr>
      </w:pPr>
      <w:r>
        <w:rPr>
          <w:rFonts w:eastAsia="仿宋_GB2312"/>
          <w:sz w:val="32"/>
          <w:szCs w:val="32"/>
          <w:lang w:bidi="ar"/>
        </w:rPr>
        <w:t>1.佛山高新区管委会（科创局）编制申报指南及通知，明确项目支持对象、组织形式、申报要求、申报时间、申报流程、材料要求等内容，申报指南和通知在“佛山扶持通”进行发布。</w:t>
      </w:r>
    </w:p>
    <w:p>
      <w:pPr>
        <w:autoSpaceDE w:val="0"/>
        <w:spacing w:line="580" w:lineRule="exact"/>
        <w:ind w:firstLine="640" w:firstLineChars="200"/>
        <w:rPr>
          <w:rFonts w:eastAsia="仿宋_GB2312"/>
          <w:sz w:val="32"/>
          <w:szCs w:val="32"/>
          <w:lang w:bidi="ar"/>
        </w:rPr>
      </w:pPr>
      <w:r>
        <w:rPr>
          <w:rFonts w:eastAsia="仿宋_GB2312"/>
          <w:sz w:val="32"/>
          <w:szCs w:val="32"/>
          <w:lang w:bidi="ar"/>
        </w:rPr>
        <w:t>2.申报单位登陆“佛山扶持通”，按照当年度发布的申报指南及通知要求在线填写申请表，并上传相关证明材料和附件。</w:t>
      </w:r>
      <w:r>
        <w:rPr>
          <w:rFonts w:eastAsia="仿宋_GB2312"/>
          <w:iCs/>
          <w:sz w:val="32"/>
          <w:szCs w:val="32"/>
          <w:shd w:val="clear" w:color="auto" w:fill="FFFFFF"/>
          <w:lang w:bidi="ar"/>
        </w:rPr>
        <w:t>各园区管理局对申报材料进行</w:t>
      </w:r>
      <w:r>
        <w:rPr>
          <w:rFonts w:eastAsia="仿宋_GB2312"/>
          <w:sz w:val="32"/>
          <w:szCs w:val="32"/>
          <w:lang w:bidi="ar"/>
        </w:rPr>
        <w:t>初审。初审通过后，申报单位按要求提交纸质材料。</w:t>
      </w:r>
    </w:p>
    <w:p>
      <w:pPr>
        <w:spacing w:line="580" w:lineRule="exact"/>
        <w:ind w:firstLine="640" w:firstLineChars="200"/>
        <w:rPr>
          <w:rFonts w:eastAsia="仿宋_GB2312"/>
          <w:sz w:val="32"/>
          <w:szCs w:val="32"/>
        </w:rPr>
      </w:pPr>
      <w:r>
        <w:rPr>
          <w:rFonts w:eastAsia="仿宋_GB2312"/>
          <w:sz w:val="32"/>
          <w:szCs w:val="32"/>
          <w:lang w:bidi="ar"/>
        </w:rPr>
        <w:t>3.申报材料包括但不限于以下内容：</w:t>
      </w:r>
      <w:r>
        <w:rPr>
          <w:rFonts w:eastAsia="仿宋_GB2312"/>
          <w:sz w:val="32"/>
          <w:szCs w:val="32"/>
        </w:rPr>
        <w:t>（1）</w:t>
      </w:r>
      <w:r>
        <w:rPr>
          <w:rFonts w:eastAsia="仿宋"/>
          <w:sz w:val="32"/>
          <w:szCs w:val="32"/>
        </w:rPr>
        <w:t>《2020</w:t>
      </w:r>
      <w:r>
        <w:rPr>
          <w:rFonts w:eastAsia="仿宋_GB2312"/>
          <w:sz w:val="32"/>
          <w:szCs w:val="32"/>
        </w:rPr>
        <w:t>年佛山高新区独角兽（潜在、种子）企业项目申报书》；（2）企业营业执照；（3）经审计的企业近3年财务审计报告；（4）股权投资协议、投资款到账证明（银行回单）、验资报告或其它融资证明材料；（5）其他证明材料，包括知识产权、研发平台、人才计划、高新技术企业资质等相关证明文件；（6）《佛山高新区项目申报单位信息采集表》；</w:t>
      </w:r>
      <w:r>
        <w:rPr>
          <w:rFonts w:eastAsia="仿宋"/>
          <w:sz w:val="32"/>
          <w:szCs w:val="32"/>
        </w:rPr>
        <w:t>（7）</w:t>
      </w:r>
      <w:r>
        <w:rPr>
          <w:rFonts w:eastAsia="仿宋_GB2312"/>
          <w:sz w:val="32"/>
          <w:szCs w:val="32"/>
        </w:rPr>
        <w:t>企业承诺书；（8）申报指南中要求的其他材料。</w:t>
      </w:r>
    </w:p>
    <w:p>
      <w:pPr>
        <w:autoSpaceDE w:val="0"/>
        <w:spacing w:line="580" w:lineRule="exact"/>
        <w:ind w:firstLine="643" w:firstLineChars="200"/>
        <w:rPr>
          <w:rFonts w:eastAsia="楷体"/>
          <w:b/>
          <w:bCs/>
          <w:sz w:val="32"/>
          <w:szCs w:val="32"/>
          <w:lang w:bidi="ar"/>
        </w:rPr>
      </w:pPr>
      <w:r>
        <w:rPr>
          <w:rFonts w:eastAsia="楷体"/>
          <w:b/>
          <w:bCs/>
          <w:sz w:val="32"/>
          <w:szCs w:val="32"/>
          <w:lang w:bidi="ar"/>
        </w:rPr>
        <w:t>（二）评审</w:t>
      </w:r>
    </w:p>
    <w:p>
      <w:pPr>
        <w:spacing w:line="580" w:lineRule="exact"/>
        <w:ind w:firstLine="640" w:firstLineChars="200"/>
        <w:rPr>
          <w:rFonts w:eastAsia="仿宋_GB2312"/>
          <w:sz w:val="32"/>
          <w:szCs w:val="32"/>
          <w:lang w:bidi="ar"/>
        </w:rPr>
      </w:pPr>
      <w:r>
        <w:rPr>
          <w:rFonts w:eastAsia="仿宋_GB2312"/>
          <w:sz w:val="32"/>
          <w:szCs w:val="32"/>
          <w:lang w:bidi="ar"/>
        </w:rPr>
        <w:t>佛山高新区管委会（科创局）或受托第三方机构组织专家进行评审。专家评审主要分为书面评审、路演答辩和现场考察三个环节。</w:t>
      </w:r>
    </w:p>
    <w:p>
      <w:pPr>
        <w:spacing w:line="580" w:lineRule="exact"/>
        <w:ind w:firstLine="640" w:firstLineChars="200"/>
        <w:rPr>
          <w:rFonts w:eastAsia="仿宋_GB2312"/>
          <w:sz w:val="32"/>
          <w:szCs w:val="32"/>
          <w:lang w:bidi="ar"/>
        </w:rPr>
      </w:pPr>
      <w:r>
        <w:rPr>
          <w:rFonts w:eastAsia="仿宋_GB2312"/>
          <w:sz w:val="32"/>
          <w:szCs w:val="32"/>
          <w:lang w:bidi="ar"/>
        </w:rPr>
        <w:t>书面评审可采取线上评审或线下评审方式，由评审专家组根据申报指南中明确的申报条件和要求对申报单位提交的申报材料进行评审，形成专家组书面评审意见。</w:t>
      </w:r>
    </w:p>
    <w:p>
      <w:pPr>
        <w:spacing w:line="580" w:lineRule="exact"/>
        <w:ind w:firstLine="640" w:firstLineChars="200"/>
        <w:rPr>
          <w:rFonts w:eastAsia="仿宋_GB2312"/>
          <w:sz w:val="32"/>
          <w:szCs w:val="32"/>
          <w:lang w:bidi="ar"/>
        </w:rPr>
      </w:pPr>
      <w:r>
        <w:rPr>
          <w:rFonts w:eastAsia="仿宋_GB2312"/>
          <w:sz w:val="32"/>
          <w:szCs w:val="32"/>
          <w:lang w:bidi="ar"/>
        </w:rPr>
        <w:t>路演答辩由评审专家组与申报单位代表共同参与，现场须从专家组中推选一名专家组组长负责组织路演答辩，申报单位代表按要求进行路演，并现场回答专家组提出的相关问题，经充分讨论后由专家组组长综合专家组成员意见形成合议专家意见。</w:t>
      </w:r>
    </w:p>
    <w:p>
      <w:pPr>
        <w:spacing w:line="580" w:lineRule="exact"/>
        <w:ind w:firstLine="640" w:firstLineChars="200"/>
        <w:rPr>
          <w:rFonts w:eastAsia="仿宋_GB2312"/>
          <w:sz w:val="32"/>
          <w:szCs w:val="32"/>
          <w:lang w:bidi="ar"/>
        </w:rPr>
      </w:pPr>
      <w:r>
        <w:rPr>
          <w:rFonts w:eastAsia="仿宋_GB2312"/>
          <w:sz w:val="32"/>
          <w:szCs w:val="32"/>
          <w:lang w:bidi="ar"/>
        </w:rPr>
        <w:t>现场考察由评审专家组赴申报单位进行实地走访考察，实地了解申报单位发展状况等情况，形成专家组现场考察意见。</w:t>
      </w:r>
    </w:p>
    <w:p>
      <w:pPr>
        <w:spacing w:line="580" w:lineRule="exact"/>
        <w:ind w:firstLine="640" w:firstLineChars="200"/>
        <w:rPr>
          <w:rFonts w:eastAsia="仿宋_GB2312"/>
          <w:sz w:val="32"/>
          <w:szCs w:val="32"/>
          <w:lang w:bidi="ar"/>
        </w:rPr>
      </w:pPr>
      <w:r>
        <w:rPr>
          <w:rFonts w:eastAsia="仿宋_GB2312"/>
          <w:sz w:val="32"/>
          <w:szCs w:val="32"/>
          <w:lang w:bidi="ar"/>
        </w:rPr>
        <w:t>经过以上三个环节后，最终形成佛山高新区</w:t>
      </w:r>
      <w:r>
        <w:rPr>
          <w:rFonts w:eastAsia="仿宋_GB2312"/>
          <w:sz w:val="32"/>
          <w:szCs w:val="22"/>
          <w:shd w:val="clear" w:color="auto" w:fill="FFFFFF"/>
        </w:rPr>
        <w:t>独角兽（潜在、种子）</w:t>
      </w:r>
      <w:r>
        <w:rPr>
          <w:rFonts w:eastAsia="仿宋_GB2312"/>
          <w:sz w:val="32"/>
          <w:szCs w:val="32"/>
          <w:lang w:bidi="ar"/>
        </w:rPr>
        <w:t>企业专家推荐立项名单。</w:t>
      </w:r>
    </w:p>
    <w:p>
      <w:pPr>
        <w:autoSpaceDE w:val="0"/>
        <w:spacing w:line="580" w:lineRule="exact"/>
        <w:ind w:firstLine="643" w:firstLineChars="200"/>
        <w:rPr>
          <w:rFonts w:eastAsia="楷体"/>
          <w:b/>
          <w:bCs/>
          <w:sz w:val="32"/>
          <w:szCs w:val="32"/>
        </w:rPr>
      </w:pPr>
      <w:r>
        <w:rPr>
          <w:rFonts w:eastAsia="楷体"/>
          <w:b/>
          <w:bCs/>
          <w:sz w:val="32"/>
          <w:szCs w:val="32"/>
          <w:lang w:bidi="ar"/>
        </w:rPr>
        <w:t>（三）审议</w:t>
      </w:r>
    </w:p>
    <w:p>
      <w:pPr>
        <w:spacing w:line="580" w:lineRule="exact"/>
        <w:ind w:firstLine="640" w:firstLineChars="200"/>
        <w:rPr>
          <w:rFonts w:eastAsia="仿宋_GB2312"/>
          <w:sz w:val="32"/>
          <w:szCs w:val="32"/>
          <w:lang w:bidi="ar"/>
        </w:rPr>
      </w:pPr>
      <w:r>
        <w:rPr>
          <w:rFonts w:eastAsia="仿宋_GB2312"/>
          <w:sz w:val="32"/>
          <w:szCs w:val="32"/>
          <w:lang w:bidi="ar"/>
        </w:rPr>
        <w:t>推荐名单经佛山高新区管委会主任办公会议讨论研究后，形成拟认定名单。</w:t>
      </w:r>
    </w:p>
    <w:p>
      <w:pPr>
        <w:autoSpaceDE w:val="0"/>
        <w:spacing w:line="580" w:lineRule="exact"/>
        <w:ind w:firstLine="643" w:firstLineChars="200"/>
        <w:rPr>
          <w:rFonts w:eastAsia="楷体"/>
          <w:b/>
          <w:bCs/>
          <w:sz w:val="32"/>
          <w:szCs w:val="32"/>
        </w:rPr>
      </w:pPr>
      <w:r>
        <w:rPr>
          <w:rFonts w:eastAsia="楷体"/>
          <w:b/>
          <w:bCs/>
          <w:sz w:val="32"/>
          <w:szCs w:val="32"/>
          <w:lang w:bidi="ar"/>
        </w:rPr>
        <w:t>（四）公示</w:t>
      </w:r>
    </w:p>
    <w:p>
      <w:pPr>
        <w:spacing w:line="580" w:lineRule="exact"/>
        <w:ind w:firstLine="640" w:firstLineChars="200"/>
        <w:rPr>
          <w:rFonts w:eastAsia="仿宋_GB2312"/>
          <w:sz w:val="32"/>
          <w:szCs w:val="32"/>
          <w:lang w:bidi="ar"/>
        </w:rPr>
      </w:pPr>
      <w:r>
        <w:rPr>
          <w:rFonts w:eastAsia="仿宋_GB2312"/>
          <w:sz w:val="32"/>
          <w:szCs w:val="32"/>
          <w:lang w:bidi="ar"/>
        </w:rPr>
        <w:t>佛山高新区管委会（科创局）将拟认定名单在“佛山扶持通”进行公示，公示期为不低于5个工作日。公示期内接到相关异议的，由各园区管理局配合科创局调查核实并提出处理意见，</w:t>
      </w:r>
      <w:r>
        <w:rPr>
          <w:rFonts w:eastAsia="仿宋_GB2312"/>
          <w:sz w:val="32"/>
          <w:szCs w:val="22"/>
        </w:rPr>
        <w:t>处理意见报佛山高新区管委会主任办公会议审议。</w:t>
      </w:r>
    </w:p>
    <w:p>
      <w:pPr>
        <w:autoSpaceDE w:val="0"/>
        <w:spacing w:line="580" w:lineRule="exact"/>
        <w:ind w:firstLine="643" w:firstLineChars="200"/>
        <w:rPr>
          <w:rFonts w:eastAsia="楷体"/>
          <w:b/>
          <w:bCs/>
          <w:sz w:val="32"/>
          <w:szCs w:val="32"/>
        </w:rPr>
      </w:pPr>
      <w:r>
        <w:rPr>
          <w:rFonts w:eastAsia="楷体"/>
          <w:b/>
          <w:bCs/>
          <w:sz w:val="32"/>
          <w:szCs w:val="32"/>
          <w:lang w:bidi="ar"/>
        </w:rPr>
        <w:t>（五）公布</w:t>
      </w:r>
    </w:p>
    <w:p>
      <w:pPr>
        <w:spacing w:line="560" w:lineRule="exact"/>
        <w:ind w:firstLine="640" w:firstLineChars="200"/>
        <w:rPr>
          <w:rFonts w:eastAsia="仿宋_GB2312"/>
          <w:sz w:val="32"/>
          <w:szCs w:val="32"/>
        </w:rPr>
      </w:pPr>
      <w:r>
        <w:rPr>
          <w:rFonts w:eastAsia="仿宋_GB2312"/>
          <w:sz w:val="32"/>
          <w:szCs w:val="32"/>
          <w:lang w:bidi="ar"/>
        </w:rPr>
        <w:t>公示无异议后，认定名单在“佛山扶持通”对外公开发布。</w:t>
      </w:r>
    </w:p>
    <w:p>
      <w:pPr>
        <w:spacing w:line="560" w:lineRule="exact"/>
        <w:ind w:firstLine="640" w:firstLineChars="200"/>
        <w:rPr>
          <w:rFonts w:eastAsia="仿宋_GB2312"/>
          <w:sz w:val="32"/>
          <w:szCs w:val="32"/>
          <w:lang w:bidi="ar"/>
        </w:rPr>
      </w:pPr>
      <w:r>
        <w:rPr>
          <w:rFonts w:eastAsia="黑体"/>
          <w:sz w:val="32"/>
          <w:szCs w:val="32"/>
          <w:lang w:bidi="ar"/>
        </w:rPr>
        <w:t xml:space="preserve">第十三条 </w:t>
      </w:r>
      <w:r>
        <w:rPr>
          <w:rFonts w:eastAsia="仿宋_GB2312"/>
          <w:sz w:val="32"/>
          <w:szCs w:val="32"/>
          <w:lang w:bidi="ar"/>
        </w:rPr>
        <w:t>佛山高新区</w:t>
      </w:r>
      <w:r>
        <w:rPr>
          <w:rFonts w:eastAsia="仿宋_GB2312"/>
          <w:sz w:val="32"/>
          <w:szCs w:val="22"/>
          <w:shd w:val="clear" w:color="auto" w:fill="FFFFFF"/>
        </w:rPr>
        <w:t>独角兽（潜在、种子）</w:t>
      </w:r>
      <w:r>
        <w:rPr>
          <w:rFonts w:eastAsia="仿宋_GB2312"/>
          <w:sz w:val="32"/>
          <w:szCs w:val="32"/>
          <w:lang w:bidi="ar"/>
        </w:rPr>
        <w:t>企业扶持政策包括以下几个方面：</w:t>
      </w:r>
    </w:p>
    <w:p>
      <w:pPr>
        <w:autoSpaceDE w:val="0"/>
        <w:spacing w:line="580" w:lineRule="exact"/>
        <w:ind w:firstLine="643" w:firstLineChars="200"/>
        <w:rPr>
          <w:rFonts w:eastAsia="楷体"/>
          <w:b/>
          <w:bCs/>
          <w:sz w:val="32"/>
          <w:szCs w:val="32"/>
          <w:lang w:bidi="ar"/>
        </w:rPr>
      </w:pPr>
      <w:r>
        <w:rPr>
          <w:rFonts w:eastAsia="楷体"/>
          <w:b/>
          <w:bCs/>
          <w:sz w:val="32"/>
          <w:szCs w:val="32"/>
          <w:lang w:bidi="ar"/>
        </w:rPr>
        <w:t>（一）加强企业认定奖励</w:t>
      </w:r>
    </w:p>
    <w:p>
      <w:pPr>
        <w:spacing w:line="560" w:lineRule="exact"/>
        <w:ind w:firstLine="640" w:firstLineChars="200"/>
        <w:rPr>
          <w:rFonts w:eastAsia="仿宋_GB2312"/>
          <w:sz w:val="32"/>
          <w:szCs w:val="32"/>
        </w:rPr>
      </w:pPr>
      <w:r>
        <w:rPr>
          <w:rFonts w:eastAsia="仿宋_GB2312"/>
          <w:sz w:val="32"/>
          <w:szCs w:val="32"/>
        </w:rPr>
        <w:t>对首次认定为佛山高新区独角兽企业的，一次性给予1000万元额外奖补；对首次认定为佛山高新区潜在独角兽企业、种子独角兽企业的，分别一次性给予500万元、100万元奖补。</w:t>
      </w:r>
    </w:p>
    <w:p>
      <w:pPr>
        <w:autoSpaceDE w:val="0"/>
        <w:spacing w:line="580" w:lineRule="exact"/>
        <w:ind w:firstLine="643" w:firstLineChars="200"/>
        <w:rPr>
          <w:rFonts w:eastAsia="楷体"/>
          <w:b/>
          <w:bCs/>
          <w:sz w:val="32"/>
          <w:szCs w:val="32"/>
          <w:lang w:bidi="ar"/>
        </w:rPr>
      </w:pPr>
      <w:r>
        <w:rPr>
          <w:rFonts w:eastAsia="楷体"/>
          <w:b/>
          <w:bCs/>
          <w:sz w:val="32"/>
          <w:szCs w:val="32"/>
          <w:lang w:bidi="ar"/>
        </w:rPr>
        <w:t>（二）强化企业落地奖补</w:t>
      </w:r>
    </w:p>
    <w:p>
      <w:pPr>
        <w:spacing w:line="560" w:lineRule="exact"/>
        <w:ind w:firstLine="640" w:firstLineChars="200"/>
        <w:rPr>
          <w:rFonts w:eastAsia="仿宋_GB2312"/>
          <w:sz w:val="32"/>
          <w:szCs w:val="32"/>
        </w:rPr>
      </w:pPr>
      <w:r>
        <w:rPr>
          <w:rFonts w:eastAsia="仿宋_GB2312"/>
          <w:sz w:val="32"/>
          <w:szCs w:val="32"/>
        </w:rPr>
        <w:t>近2年曾入选国内外独角兽榜单的区外企业，整体搬迁至佛山高新区或在佛山高新区设立独立法人的总部基地、研发基地，且实收资本2000万元（含）以上的，按实收资本的3%给予一次性奖补，单个企业最高不超过1000万元。符合上述条件的企业，可享受本政策其他扶持条款。</w:t>
      </w:r>
    </w:p>
    <w:p>
      <w:pPr>
        <w:autoSpaceDE w:val="0"/>
        <w:spacing w:line="580" w:lineRule="exact"/>
        <w:ind w:firstLine="643" w:firstLineChars="200"/>
        <w:rPr>
          <w:rFonts w:eastAsia="楷体"/>
          <w:b/>
          <w:bCs/>
          <w:sz w:val="32"/>
          <w:szCs w:val="32"/>
          <w:lang w:bidi="ar"/>
        </w:rPr>
      </w:pPr>
      <w:r>
        <w:rPr>
          <w:rFonts w:eastAsia="楷体"/>
          <w:b/>
          <w:bCs/>
          <w:sz w:val="32"/>
          <w:szCs w:val="32"/>
          <w:lang w:bidi="ar"/>
        </w:rPr>
        <w:t>（三）积极开展靶向服务</w:t>
      </w:r>
    </w:p>
    <w:p>
      <w:pPr>
        <w:spacing w:line="560" w:lineRule="exact"/>
        <w:ind w:firstLine="640" w:firstLineChars="200"/>
        <w:rPr>
          <w:rFonts w:eastAsia="仿宋_GB2312"/>
          <w:sz w:val="32"/>
          <w:szCs w:val="32"/>
        </w:rPr>
      </w:pPr>
      <w:r>
        <w:rPr>
          <w:rFonts w:eastAsia="仿宋_GB2312"/>
          <w:sz w:val="32"/>
          <w:szCs w:val="32"/>
        </w:rPr>
        <w:t>针对入库企业，成立由佛山高新区相关部门负责人牵头设立的独角兽企业、潜在独角兽企业、种子独角兽服务专班，开展“一企一策”靶向服务，协调解决入库企业发展中存在的突出问题。</w:t>
      </w:r>
    </w:p>
    <w:p>
      <w:pPr>
        <w:autoSpaceDE w:val="0"/>
        <w:spacing w:line="580" w:lineRule="exact"/>
        <w:ind w:firstLine="643" w:firstLineChars="200"/>
        <w:rPr>
          <w:rFonts w:eastAsia="楷体"/>
          <w:b/>
          <w:bCs/>
          <w:sz w:val="32"/>
          <w:szCs w:val="32"/>
          <w:lang w:bidi="ar"/>
        </w:rPr>
      </w:pPr>
      <w:r>
        <w:rPr>
          <w:rFonts w:eastAsia="楷体"/>
          <w:b/>
          <w:bCs/>
          <w:sz w:val="32"/>
          <w:szCs w:val="32"/>
          <w:lang w:bidi="ar"/>
        </w:rPr>
        <w:t>（四）加强前沿技术场景建设</w:t>
      </w:r>
    </w:p>
    <w:p>
      <w:pPr>
        <w:spacing w:line="560" w:lineRule="exact"/>
        <w:ind w:firstLine="640" w:firstLineChars="200"/>
        <w:rPr>
          <w:rFonts w:eastAsia="仿宋_GB2312"/>
          <w:sz w:val="32"/>
          <w:szCs w:val="32"/>
        </w:rPr>
      </w:pPr>
      <w:r>
        <w:rPr>
          <w:rFonts w:eastAsia="仿宋_GB2312"/>
          <w:sz w:val="32"/>
          <w:szCs w:val="32"/>
        </w:rPr>
        <w:t>定期发布涵盖智能制造、智慧城市等重点领域的应用场景清单,支持鼓励区内外独角兽企业参与灯塔工厂培育、前沿技术场景应用示范等重点项目的建设。支持入库企业在智能装备、机器人、增材制造、新能源汽车、工业互联网等产业领域的首台（套）重大技术装备、重点新材料及研发技术服务的推广和试用。</w:t>
      </w:r>
    </w:p>
    <w:p>
      <w:pPr>
        <w:autoSpaceDE w:val="0"/>
        <w:spacing w:line="580" w:lineRule="exact"/>
        <w:ind w:firstLine="643" w:firstLineChars="200"/>
        <w:rPr>
          <w:rFonts w:eastAsia="楷体"/>
          <w:b/>
          <w:bCs/>
          <w:sz w:val="32"/>
          <w:szCs w:val="32"/>
          <w:lang w:bidi="ar"/>
        </w:rPr>
      </w:pPr>
      <w:r>
        <w:rPr>
          <w:rFonts w:eastAsia="楷体"/>
          <w:b/>
          <w:bCs/>
          <w:sz w:val="32"/>
          <w:szCs w:val="32"/>
          <w:lang w:bidi="ar"/>
        </w:rPr>
        <w:t>（五）加大企业研发支持力度</w:t>
      </w:r>
    </w:p>
    <w:p>
      <w:pPr>
        <w:spacing w:line="560" w:lineRule="exact"/>
        <w:ind w:firstLine="640" w:firstLineChars="200"/>
        <w:rPr>
          <w:rFonts w:eastAsia="仿宋_GB2312"/>
          <w:sz w:val="32"/>
          <w:szCs w:val="32"/>
        </w:rPr>
      </w:pPr>
      <w:r>
        <w:rPr>
          <w:rFonts w:eastAsia="仿宋_GB2312"/>
          <w:sz w:val="32"/>
          <w:szCs w:val="32"/>
        </w:rPr>
        <w:t>对认定的潜在独角兽和种子独角兽企业，</w:t>
      </w:r>
      <w:r>
        <w:rPr>
          <w:rFonts w:eastAsia="仿宋_GB2312"/>
          <w:sz w:val="32"/>
          <w:szCs w:val="22"/>
          <w:shd w:val="clear" w:color="auto" w:fill="FFFFFF"/>
        </w:rPr>
        <w:t>按认定当年发生的可加计扣除研发费用总额的20%给予额外补助</w:t>
      </w:r>
      <w:r>
        <w:rPr>
          <w:rFonts w:eastAsia="仿宋_GB2312"/>
          <w:sz w:val="32"/>
          <w:szCs w:val="32"/>
        </w:rPr>
        <w:t>，最高分别不超过300万元和100万元。</w:t>
      </w:r>
    </w:p>
    <w:p>
      <w:pPr>
        <w:autoSpaceDE w:val="0"/>
        <w:spacing w:line="580" w:lineRule="exact"/>
        <w:ind w:firstLine="643" w:firstLineChars="200"/>
        <w:rPr>
          <w:rFonts w:eastAsia="楷体"/>
          <w:b/>
          <w:bCs/>
          <w:sz w:val="32"/>
          <w:szCs w:val="32"/>
          <w:lang w:bidi="ar"/>
        </w:rPr>
      </w:pPr>
      <w:r>
        <w:rPr>
          <w:rFonts w:eastAsia="楷体"/>
          <w:b/>
          <w:bCs/>
          <w:sz w:val="32"/>
          <w:szCs w:val="32"/>
          <w:lang w:bidi="ar"/>
        </w:rPr>
        <w:t>（六）支持企业融资</w:t>
      </w:r>
    </w:p>
    <w:p>
      <w:pPr>
        <w:spacing w:line="560" w:lineRule="exact"/>
        <w:ind w:firstLine="640" w:firstLineChars="200"/>
        <w:rPr>
          <w:rFonts w:eastAsia="仿宋_GB2312"/>
          <w:sz w:val="32"/>
          <w:szCs w:val="32"/>
        </w:rPr>
      </w:pPr>
      <w:r>
        <w:rPr>
          <w:rFonts w:eastAsia="仿宋_GB2312"/>
          <w:sz w:val="32"/>
          <w:szCs w:val="32"/>
        </w:rPr>
        <w:t>对认定的潜在独角兽企业和种子独角兽企业，在认定当年获得私募风险投资机构投资的，按企业获投资额的3%给予奖补，每家企业每年奖补最高不超过300万和100万；对于认定的潜在独角兽企业和种子独角兽企业，因扩大生产规模、加强技术研发、探索模式创新等获得银行贷款的，对企业在认定当年支付银行贷款利息总额的30%给予一次性贴息，每家企业每年支持最高不超过100万元。</w:t>
      </w:r>
    </w:p>
    <w:p>
      <w:pPr>
        <w:autoSpaceDE w:val="0"/>
        <w:spacing w:line="580" w:lineRule="exact"/>
        <w:ind w:firstLine="643" w:firstLineChars="200"/>
        <w:rPr>
          <w:rFonts w:eastAsia="楷体"/>
          <w:b/>
          <w:bCs/>
          <w:sz w:val="32"/>
          <w:szCs w:val="32"/>
          <w:lang w:bidi="ar"/>
        </w:rPr>
      </w:pPr>
      <w:r>
        <w:rPr>
          <w:rFonts w:eastAsia="楷体"/>
          <w:b/>
          <w:bCs/>
          <w:sz w:val="32"/>
          <w:szCs w:val="32"/>
          <w:lang w:bidi="ar"/>
        </w:rPr>
        <w:t>（七）支持企业上市发行股票</w:t>
      </w:r>
    </w:p>
    <w:p>
      <w:pPr>
        <w:spacing w:line="560" w:lineRule="exact"/>
        <w:ind w:firstLine="640" w:firstLineChars="200"/>
        <w:rPr>
          <w:rFonts w:eastAsia="仿宋_GB2312"/>
          <w:sz w:val="32"/>
          <w:szCs w:val="32"/>
        </w:rPr>
      </w:pPr>
      <w:r>
        <w:rPr>
          <w:rFonts w:eastAsia="仿宋_GB2312"/>
          <w:sz w:val="32"/>
          <w:szCs w:val="32"/>
        </w:rPr>
        <w:t>支持入库企业进行股份制改造、上市发行股票，参照《佛山市金融促进民营经济高质量发展若干政策措施》（佛府办〔2018〕42号）要求，在不超过市、区两级给予的最高奖补前提下，对成功股份制改造的企业给予最高不超过100万元奖补；对在境内外证券交易所上市发行股票的企业，按企业首发募集资金额度的0.5%给予一次性奖补，最高不超过1000万元。</w:t>
      </w:r>
    </w:p>
    <w:p>
      <w:pPr>
        <w:autoSpaceDE w:val="0"/>
        <w:spacing w:line="580" w:lineRule="exact"/>
        <w:ind w:firstLine="643" w:firstLineChars="200"/>
        <w:rPr>
          <w:rFonts w:eastAsia="楷体"/>
          <w:b/>
          <w:bCs/>
          <w:sz w:val="32"/>
          <w:szCs w:val="32"/>
          <w:lang w:bidi="ar"/>
        </w:rPr>
      </w:pPr>
      <w:r>
        <w:rPr>
          <w:rFonts w:eastAsia="楷体"/>
          <w:b/>
          <w:bCs/>
          <w:sz w:val="32"/>
          <w:szCs w:val="32"/>
          <w:lang w:bidi="ar"/>
        </w:rPr>
        <w:t>（八）保障入库企业发展空间</w:t>
      </w:r>
    </w:p>
    <w:p>
      <w:pPr>
        <w:spacing w:line="560" w:lineRule="exact"/>
        <w:ind w:firstLine="640" w:firstLineChars="200"/>
        <w:rPr>
          <w:rFonts w:eastAsia="仿宋_GB2312"/>
          <w:sz w:val="32"/>
          <w:szCs w:val="32"/>
        </w:rPr>
      </w:pPr>
      <w:r>
        <w:rPr>
          <w:rFonts w:eastAsia="仿宋_GB2312"/>
          <w:sz w:val="32"/>
          <w:szCs w:val="32"/>
        </w:rPr>
        <w:t>对发展较快的入库企业，依法依规优先保障企业生产经营用房、建设用地和人才公寓需求，并预留后续发展空间。</w:t>
      </w:r>
    </w:p>
    <w:p>
      <w:pPr>
        <w:autoSpaceDE w:val="0"/>
        <w:spacing w:line="580" w:lineRule="exact"/>
        <w:ind w:firstLine="643" w:firstLineChars="200"/>
        <w:rPr>
          <w:rFonts w:eastAsia="楷体"/>
          <w:b/>
          <w:bCs/>
          <w:sz w:val="32"/>
          <w:szCs w:val="32"/>
          <w:lang w:bidi="ar"/>
        </w:rPr>
      </w:pPr>
      <w:r>
        <w:rPr>
          <w:rFonts w:eastAsia="楷体"/>
          <w:b/>
          <w:bCs/>
          <w:sz w:val="32"/>
          <w:szCs w:val="32"/>
          <w:lang w:bidi="ar"/>
        </w:rPr>
        <w:t>（九）提升载体孵化育成能力</w:t>
      </w:r>
    </w:p>
    <w:p>
      <w:pPr>
        <w:spacing w:line="560" w:lineRule="exact"/>
        <w:ind w:firstLine="640" w:firstLineChars="200"/>
        <w:rPr>
          <w:rFonts w:eastAsia="仿宋_GB2312"/>
          <w:sz w:val="32"/>
          <w:szCs w:val="32"/>
        </w:rPr>
      </w:pPr>
      <w:r>
        <w:rPr>
          <w:rFonts w:eastAsia="仿宋_GB2312"/>
          <w:sz w:val="32"/>
          <w:szCs w:val="32"/>
        </w:rPr>
        <w:t>对佛山高新区内省级以上科技企业孵化器和众创空间，每成功培育一家种子独角兽入库企业，给予载体运营机构20万元奖补，每家载体每年最高不超过100万元。支持佛山高新区内企业通过业务拆分、对外投资等方式孕育孵化种子独角兽企业，企业每培育一家种子独角兽入库企业，给予50万元奖补。</w:t>
      </w:r>
    </w:p>
    <w:p>
      <w:pPr>
        <w:autoSpaceDE w:val="0"/>
        <w:spacing w:line="580" w:lineRule="exact"/>
        <w:ind w:firstLine="643" w:firstLineChars="200"/>
        <w:rPr>
          <w:rFonts w:eastAsia="楷体"/>
          <w:b/>
          <w:bCs/>
          <w:sz w:val="32"/>
          <w:szCs w:val="32"/>
          <w:lang w:bidi="ar"/>
        </w:rPr>
      </w:pPr>
      <w:r>
        <w:rPr>
          <w:rFonts w:eastAsia="楷体"/>
          <w:b/>
          <w:bCs/>
          <w:sz w:val="32"/>
          <w:szCs w:val="32"/>
          <w:lang w:bidi="ar"/>
        </w:rPr>
        <w:t>（十）支持引进独角兽企业</w:t>
      </w:r>
    </w:p>
    <w:p>
      <w:pPr>
        <w:spacing w:line="560" w:lineRule="exact"/>
        <w:ind w:firstLine="640" w:firstLineChars="200"/>
        <w:rPr>
          <w:rFonts w:eastAsia="仿宋_GB2312"/>
          <w:sz w:val="32"/>
          <w:szCs w:val="32"/>
        </w:rPr>
      </w:pPr>
      <w:r>
        <w:rPr>
          <w:rFonts w:eastAsia="仿宋_GB2312"/>
          <w:sz w:val="32"/>
          <w:szCs w:val="32"/>
        </w:rPr>
        <w:t>鼓励第三方机构推荐独角兽企业落户佛山高新区，每成功引进一家独角兽企业总部(或独立法人区域总部)落户佛山高新区，给予举荐机构50万元奖补。</w:t>
      </w:r>
    </w:p>
    <w:p>
      <w:pPr>
        <w:adjustRightInd w:val="0"/>
        <w:snapToGrid w:val="0"/>
        <w:spacing w:line="540" w:lineRule="exact"/>
        <w:ind w:firstLine="643" w:firstLineChars="200"/>
        <w:rPr>
          <w:rFonts w:eastAsia="楷体"/>
          <w:b/>
          <w:bCs/>
          <w:sz w:val="32"/>
          <w:szCs w:val="32"/>
          <w:shd w:val="clear" w:color="auto" w:fill="FFFFFF"/>
        </w:rPr>
      </w:pPr>
      <w:r>
        <w:rPr>
          <w:rFonts w:eastAsia="楷体"/>
          <w:b/>
          <w:sz w:val="32"/>
          <w:szCs w:val="22"/>
          <w:shd w:val="clear" w:color="auto" w:fill="FFFFFF"/>
        </w:rPr>
        <w:t>（十一）</w:t>
      </w:r>
      <w:r>
        <w:rPr>
          <w:rFonts w:eastAsia="楷体"/>
          <w:b/>
          <w:bCs/>
          <w:sz w:val="32"/>
          <w:szCs w:val="32"/>
          <w:shd w:val="clear" w:color="auto" w:fill="FFFFFF"/>
        </w:rPr>
        <w:t>促进企业加强外部交流</w:t>
      </w:r>
    </w:p>
    <w:p>
      <w:pPr>
        <w:adjustRightInd w:val="0"/>
        <w:snapToGrid w:val="0"/>
        <w:spacing w:line="560" w:lineRule="exact"/>
        <w:ind w:firstLine="640" w:firstLineChars="200"/>
        <w:rPr>
          <w:rFonts w:eastAsia="仿宋_GB2312"/>
          <w:sz w:val="32"/>
          <w:szCs w:val="32"/>
        </w:rPr>
      </w:pPr>
      <w:r>
        <w:rPr>
          <w:rFonts w:eastAsia="仿宋_GB2312"/>
          <w:sz w:val="32"/>
          <w:szCs w:val="32"/>
        </w:rPr>
        <w:t>加强对接国际先进理念与技术，每年组织两期入库企业高层管理人员学习交流会，到国内外知名企业、创新服务机构等学习借鉴其经营理念、管理模式以及技术创新经验，学习交流活动涉及的培训费、交通费、住宿费等相关费用由管委会承担。</w:t>
      </w:r>
    </w:p>
    <w:p>
      <w:pPr>
        <w:spacing w:line="560" w:lineRule="exact"/>
        <w:ind w:firstLine="640" w:firstLineChars="200"/>
        <w:rPr>
          <w:rFonts w:eastAsia="仿宋_GB2312"/>
          <w:sz w:val="32"/>
          <w:szCs w:val="32"/>
          <w:lang w:bidi="ar"/>
        </w:rPr>
      </w:pPr>
      <w:r>
        <w:rPr>
          <w:rFonts w:eastAsia="黑体"/>
          <w:sz w:val="32"/>
          <w:szCs w:val="32"/>
        </w:rPr>
        <w:t xml:space="preserve">第十四条 </w:t>
      </w:r>
      <w:r>
        <w:rPr>
          <w:rFonts w:eastAsia="仿宋_GB2312"/>
          <w:sz w:val="32"/>
          <w:szCs w:val="32"/>
          <w:lang w:bidi="ar"/>
        </w:rPr>
        <w:t>鼓励各园区管理局根据实际给予配套支持。</w:t>
      </w:r>
    </w:p>
    <w:p>
      <w:pPr>
        <w:spacing w:line="560" w:lineRule="exact"/>
        <w:ind w:firstLine="640" w:firstLineChars="200"/>
        <w:rPr>
          <w:rFonts w:eastAsia="仿宋_GB2312"/>
          <w:sz w:val="32"/>
          <w:szCs w:val="32"/>
        </w:rPr>
      </w:pPr>
    </w:p>
    <w:p>
      <w:pPr>
        <w:spacing w:line="580" w:lineRule="exact"/>
        <w:jc w:val="center"/>
        <w:rPr>
          <w:rFonts w:eastAsia="黑体"/>
          <w:sz w:val="32"/>
          <w:szCs w:val="32"/>
        </w:rPr>
      </w:pPr>
      <w:r>
        <w:rPr>
          <w:rFonts w:eastAsia="黑体"/>
          <w:sz w:val="32"/>
          <w:szCs w:val="32"/>
        </w:rPr>
        <w:t>第五章 资金拨付及管理</w:t>
      </w:r>
    </w:p>
    <w:p>
      <w:pPr>
        <w:spacing w:line="580" w:lineRule="exact"/>
        <w:ind w:firstLine="640" w:firstLineChars="200"/>
        <w:rPr>
          <w:rFonts w:eastAsia="仿宋_GB2312"/>
          <w:sz w:val="32"/>
          <w:szCs w:val="32"/>
          <w:lang w:bidi="ar"/>
        </w:rPr>
      </w:pPr>
      <w:r>
        <w:rPr>
          <w:rFonts w:eastAsia="黑体"/>
          <w:sz w:val="32"/>
          <w:szCs w:val="32"/>
        </w:rPr>
        <w:t xml:space="preserve">第十五条 </w:t>
      </w:r>
      <w:r>
        <w:rPr>
          <w:rFonts w:eastAsia="仿宋_GB2312"/>
          <w:sz w:val="32"/>
          <w:szCs w:val="32"/>
          <w:lang w:bidi="ar"/>
        </w:rPr>
        <w:t>佛山高新区</w:t>
      </w:r>
      <w:r>
        <w:rPr>
          <w:rFonts w:eastAsia="仿宋_GB2312"/>
          <w:sz w:val="32"/>
          <w:szCs w:val="22"/>
          <w:shd w:val="clear" w:color="auto" w:fill="FFFFFF"/>
        </w:rPr>
        <w:t>独角兽（潜在、种子）</w:t>
      </w:r>
      <w:r>
        <w:rPr>
          <w:rFonts w:eastAsia="仿宋_GB2312"/>
          <w:sz w:val="32"/>
          <w:szCs w:val="32"/>
          <w:lang w:bidi="ar"/>
        </w:rPr>
        <w:t>企业认定后，按照佛山高新区财政专项经费支出管理办法规定审批程序，做好资金支出审批。佛山高新区管委会（科创局）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eastAsia="仿宋"/>
          <w:sz w:val="32"/>
          <w:szCs w:val="32"/>
        </w:rPr>
      </w:pPr>
      <w:r>
        <w:rPr>
          <w:rFonts w:eastAsia="黑体"/>
          <w:sz w:val="32"/>
          <w:szCs w:val="32"/>
        </w:rPr>
        <w:t xml:space="preserve">第十六条 </w:t>
      </w:r>
      <w:r>
        <w:rPr>
          <w:rFonts w:eastAsia="仿宋_GB2312"/>
          <w:sz w:val="32"/>
          <w:szCs w:val="22"/>
          <w:shd w:val="clear" w:color="auto" w:fill="FFFFFF"/>
        </w:rPr>
        <w:t>独角兽（潜在、种子）</w:t>
      </w:r>
      <w:r>
        <w:rPr>
          <w:rFonts w:eastAsia="仿宋_GB2312"/>
          <w:sz w:val="32"/>
          <w:szCs w:val="32"/>
          <w:lang w:bidi="ar"/>
        </w:rPr>
        <w:t>企业认定及资助实行信息公开管理，除涉及保密要求等特殊情况不予公开之外，按照佛山高新区经济发展专项资金管理办法的相关规定在“佛山扶持通”进行公开，主动接受社会监督。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eastAsia="仿宋_GB2312"/>
          <w:sz w:val="32"/>
          <w:szCs w:val="32"/>
          <w:lang w:bidi="ar"/>
        </w:rPr>
      </w:pPr>
      <w:r>
        <w:rPr>
          <w:rFonts w:eastAsia="黑体"/>
          <w:sz w:val="32"/>
          <w:szCs w:val="32"/>
        </w:rPr>
        <w:t xml:space="preserve">第十七条 </w:t>
      </w:r>
      <w:r>
        <w:rPr>
          <w:rFonts w:eastAsia="仿宋_GB2312"/>
          <w:sz w:val="32"/>
          <w:szCs w:val="32"/>
          <w:lang w:bidi="ar"/>
        </w:rPr>
        <w:t>预算年度终了或预算执行完毕，由佛山高新区管委会（科创局）对当年度</w:t>
      </w:r>
      <w:r>
        <w:rPr>
          <w:rFonts w:eastAsia="仿宋_GB2312"/>
          <w:sz w:val="32"/>
          <w:szCs w:val="22"/>
          <w:shd w:val="clear" w:color="auto" w:fill="FFFFFF"/>
        </w:rPr>
        <w:t>独角兽（潜在、种子）</w:t>
      </w:r>
      <w:r>
        <w:rPr>
          <w:rFonts w:eastAsia="仿宋_GB2312"/>
          <w:sz w:val="32"/>
          <w:szCs w:val="32"/>
          <w:lang w:bidi="ar"/>
        </w:rPr>
        <w:t>企业扶持资金的绩效指标完成情况和预算执行情况进行评价，形成自评报告报规财局备案。绩效评价具体工作参照佛山高新区经济发展专项资金管理办法的相关规定开展。</w:t>
      </w:r>
    </w:p>
    <w:p>
      <w:pPr>
        <w:spacing w:line="580" w:lineRule="exact"/>
        <w:ind w:firstLine="640" w:firstLineChars="200"/>
        <w:rPr>
          <w:rFonts w:eastAsia="仿宋"/>
          <w:sz w:val="32"/>
          <w:szCs w:val="32"/>
        </w:rPr>
      </w:pPr>
      <w:r>
        <w:rPr>
          <w:rFonts w:eastAsia="黑体"/>
          <w:sz w:val="32"/>
          <w:szCs w:val="32"/>
        </w:rPr>
        <w:t xml:space="preserve">第十八条 </w:t>
      </w:r>
      <w:r>
        <w:rPr>
          <w:rFonts w:eastAsia="仿宋_GB2312"/>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eastAsia="仿宋_GB2312"/>
          <w:sz w:val="32"/>
          <w:szCs w:val="32"/>
          <w:lang w:bidi="ar"/>
        </w:rPr>
      </w:pPr>
      <w:r>
        <w:rPr>
          <w:rFonts w:eastAsia="黑体"/>
          <w:sz w:val="32"/>
          <w:szCs w:val="32"/>
        </w:rPr>
        <w:t xml:space="preserve">第十九条 </w:t>
      </w:r>
      <w:r>
        <w:rPr>
          <w:rFonts w:eastAsia="仿宋_GB2312"/>
          <w:sz w:val="32"/>
          <w:szCs w:val="32"/>
          <w:lang w:bidi="ar"/>
        </w:rPr>
        <w:t>建立健全监督机制，佛山高新区管委会（科创局）负责项目的监督与管理，并做好各园区管理局工作的指导与监督。</w:t>
      </w:r>
      <w:r>
        <w:rPr>
          <w:rFonts w:hint="eastAsia" w:eastAsia="仿宋_GB2312"/>
          <w:sz w:val="32"/>
          <w:szCs w:val="32"/>
          <w:lang w:bidi="ar"/>
        </w:rPr>
        <w:t>佛山高新区纪检监察工委与各园区管理局纪检监察机构</w:t>
      </w:r>
      <w:r>
        <w:rPr>
          <w:rFonts w:hint="eastAsia" w:eastAsia="仿宋_GB2312"/>
          <w:sz w:val="32"/>
          <w:szCs w:val="32"/>
        </w:rPr>
        <w:t>按照</w:t>
      </w:r>
      <w:r>
        <w:rPr>
          <w:rFonts w:ascii="仿宋_GB2312" w:eastAsia="仿宋_GB2312"/>
          <w:sz w:val="32"/>
          <w:szCs w:val="32"/>
        </w:rPr>
        <w:t>“</w:t>
      </w:r>
      <w:r>
        <w:rPr>
          <w:rFonts w:hint="eastAsia" w:ascii="仿宋_GB2312" w:eastAsia="仿宋_GB2312"/>
          <w:sz w:val="32"/>
          <w:szCs w:val="32"/>
        </w:rPr>
        <w:t>分级负责、属地管理”“谁主管、谁负责”</w:t>
      </w:r>
      <w:r>
        <w:rPr>
          <w:rFonts w:hint="eastAsia" w:eastAsia="仿宋_GB2312"/>
          <w:sz w:val="32"/>
          <w:szCs w:val="32"/>
          <w:lang w:bidi="ar"/>
        </w:rPr>
        <w:t>，对专项资金管理、分配、使用与绩效情况进行监督</w:t>
      </w:r>
      <w:r>
        <w:rPr>
          <w:rFonts w:eastAsia="仿宋_GB2312"/>
          <w:sz w:val="32"/>
          <w:szCs w:val="32"/>
        </w:rPr>
        <w:t>。</w:t>
      </w:r>
      <w:r>
        <w:rPr>
          <w:rFonts w:eastAsia="仿宋_GB2312"/>
          <w:sz w:val="32"/>
          <w:szCs w:val="32"/>
          <w:lang w:bidi="ar"/>
        </w:rPr>
        <w:t>各园区管理局做好辖区内项目承担单位专项资金的使用指导与监督，协助佛山高新区管委会（科创局）开展项目督查管理，及时反映和纠正资助资金使用过程中存在的问题。</w:t>
      </w:r>
    </w:p>
    <w:p>
      <w:pPr>
        <w:spacing w:line="580" w:lineRule="exact"/>
        <w:jc w:val="center"/>
        <w:rPr>
          <w:rFonts w:eastAsia="黑体"/>
          <w:sz w:val="32"/>
          <w:szCs w:val="32"/>
        </w:rPr>
      </w:pPr>
    </w:p>
    <w:p>
      <w:pPr>
        <w:spacing w:line="580" w:lineRule="exact"/>
        <w:jc w:val="center"/>
        <w:rPr>
          <w:rFonts w:eastAsia="黑体"/>
          <w:sz w:val="32"/>
          <w:szCs w:val="32"/>
        </w:rPr>
      </w:pPr>
      <w:r>
        <w:rPr>
          <w:rFonts w:eastAsia="黑体"/>
          <w:sz w:val="32"/>
          <w:szCs w:val="32"/>
        </w:rPr>
        <w:t>第六章 责任追究</w:t>
      </w:r>
    </w:p>
    <w:p>
      <w:pPr>
        <w:spacing w:line="560" w:lineRule="exact"/>
        <w:ind w:firstLine="640"/>
        <w:rPr>
          <w:rFonts w:eastAsia="仿宋_GB2312"/>
          <w:sz w:val="32"/>
          <w:szCs w:val="32"/>
        </w:rPr>
      </w:pPr>
      <w:r>
        <w:rPr>
          <w:rFonts w:eastAsia="黑体"/>
          <w:sz w:val="32"/>
          <w:szCs w:val="32"/>
        </w:rPr>
        <w:t>第二十条</w:t>
      </w:r>
      <w:r>
        <w:rPr>
          <w:rFonts w:eastAsia="仿宋_GB2312"/>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eastAsia="仿宋_GB2312"/>
          <w:sz w:val="32"/>
          <w:szCs w:val="32"/>
        </w:rPr>
      </w:pPr>
      <w:r>
        <w:rPr>
          <w:rFonts w:eastAsia="黑体"/>
          <w:sz w:val="32"/>
          <w:szCs w:val="32"/>
        </w:rPr>
        <w:t xml:space="preserve">第二十一条 </w:t>
      </w:r>
      <w:r>
        <w:rPr>
          <w:rFonts w:eastAsia="仿宋_GB2312"/>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eastAsia="仿宋_GB2312"/>
          <w:sz w:val="32"/>
          <w:szCs w:val="32"/>
        </w:rPr>
      </w:pPr>
      <w:r>
        <w:rPr>
          <w:rFonts w:eastAsia="黑体"/>
          <w:sz w:val="32"/>
          <w:szCs w:val="32"/>
        </w:rPr>
        <w:t xml:space="preserve">第二十二条  </w:t>
      </w:r>
      <w:r>
        <w:rPr>
          <w:rFonts w:eastAsia="仿宋_GB2312"/>
          <w:sz w:val="32"/>
          <w:szCs w:val="32"/>
        </w:rPr>
        <w:t>涉及违纪违法的责任人员，一律按照有关规定严肃处理。构成犯罪的，依法</w:t>
      </w:r>
      <w:r>
        <w:rPr>
          <w:rFonts w:hint="eastAsia" w:eastAsia="仿宋_GB2312"/>
          <w:sz w:val="32"/>
          <w:szCs w:val="32"/>
        </w:rPr>
        <w:t>移交</w:t>
      </w:r>
      <w:r>
        <w:rPr>
          <w:rFonts w:eastAsia="仿宋_GB2312"/>
          <w:sz w:val="32"/>
          <w:szCs w:val="32"/>
        </w:rPr>
        <w:t>有关部门追究刑事责任。</w:t>
      </w:r>
    </w:p>
    <w:p>
      <w:pPr>
        <w:spacing w:line="580" w:lineRule="exact"/>
        <w:ind w:firstLine="640" w:firstLineChars="200"/>
        <w:rPr>
          <w:rFonts w:eastAsia="仿宋"/>
          <w:sz w:val="32"/>
          <w:szCs w:val="32"/>
        </w:rPr>
      </w:pPr>
    </w:p>
    <w:p>
      <w:pPr>
        <w:spacing w:line="580" w:lineRule="exact"/>
        <w:jc w:val="center"/>
        <w:rPr>
          <w:rFonts w:eastAsia="黑体"/>
          <w:sz w:val="32"/>
          <w:szCs w:val="32"/>
        </w:rPr>
      </w:pPr>
      <w:r>
        <w:rPr>
          <w:rFonts w:eastAsia="黑体"/>
          <w:sz w:val="32"/>
          <w:szCs w:val="32"/>
        </w:rPr>
        <w:t>第七章 附 则</w:t>
      </w:r>
    </w:p>
    <w:p>
      <w:pPr>
        <w:spacing w:line="580" w:lineRule="exact"/>
        <w:ind w:firstLine="640" w:firstLineChars="200"/>
        <w:rPr>
          <w:rFonts w:eastAsia="仿宋_GB2312"/>
          <w:sz w:val="32"/>
          <w:szCs w:val="32"/>
        </w:rPr>
      </w:pPr>
      <w:r>
        <w:rPr>
          <w:rFonts w:eastAsia="黑体"/>
          <w:sz w:val="32"/>
          <w:szCs w:val="32"/>
        </w:rPr>
        <w:t xml:space="preserve">第二十三条 </w:t>
      </w:r>
      <w:r>
        <w:rPr>
          <w:rFonts w:eastAsia="仿宋_GB2312"/>
          <w:sz w:val="32"/>
          <w:szCs w:val="32"/>
        </w:rPr>
        <w:t>除政策明确规定额外奖补情况外，对符合本细则同时又符合佛山高新区其他扶持政策规定的</w:t>
      </w:r>
      <w:r>
        <w:rPr>
          <w:rFonts w:hint="eastAsia" w:eastAsia="仿宋_GB2312"/>
          <w:sz w:val="32"/>
          <w:szCs w:val="32"/>
        </w:rPr>
        <w:t>同类</w:t>
      </w:r>
      <w:r>
        <w:rPr>
          <w:rFonts w:eastAsia="仿宋_GB2312"/>
          <w:sz w:val="32"/>
          <w:szCs w:val="32"/>
        </w:rPr>
        <w:t>事项，按照“从高不重复原则”给予支持。</w:t>
      </w:r>
    </w:p>
    <w:p>
      <w:pPr>
        <w:spacing w:line="580" w:lineRule="exact"/>
        <w:ind w:firstLine="640" w:firstLineChars="200"/>
        <w:rPr>
          <w:rFonts w:eastAsia="仿宋_GB2312"/>
          <w:sz w:val="32"/>
          <w:szCs w:val="32"/>
        </w:rPr>
      </w:pPr>
      <w:r>
        <w:rPr>
          <w:rFonts w:eastAsia="黑体"/>
          <w:sz w:val="32"/>
          <w:szCs w:val="32"/>
        </w:rPr>
        <w:t xml:space="preserve">第二十四条 </w:t>
      </w:r>
      <w:r>
        <w:rPr>
          <w:rFonts w:eastAsia="仿宋_GB2312"/>
          <w:sz w:val="32"/>
          <w:szCs w:val="32"/>
        </w:rPr>
        <w:t>本细则由佛山高新区管委会负责解释。</w:t>
      </w:r>
    </w:p>
    <w:p>
      <w:pPr>
        <w:spacing w:line="560" w:lineRule="exact"/>
        <w:ind w:firstLine="640" w:firstLineChars="200"/>
        <w:rPr>
          <w:rFonts w:ascii="仿宋_GB2312" w:hAnsi="仿宋" w:eastAsia="仿宋_GB2312" w:cs="仿宋"/>
          <w:sz w:val="32"/>
          <w:szCs w:val="32"/>
        </w:rPr>
      </w:pPr>
      <w:r>
        <w:rPr>
          <w:rFonts w:eastAsia="黑体"/>
          <w:sz w:val="32"/>
          <w:szCs w:val="32"/>
        </w:rPr>
        <w:t>第二十五条</w:t>
      </w:r>
      <w:r>
        <w:rPr>
          <w:rFonts w:eastAsia="仿宋"/>
          <w:b/>
          <w:bCs/>
          <w:sz w:val="32"/>
          <w:szCs w:val="32"/>
        </w:rPr>
        <w:t xml:space="preserve"> </w:t>
      </w:r>
      <w:r>
        <w:rPr>
          <w:rFonts w:eastAsia="仿宋_GB2312"/>
          <w:sz w:val="32"/>
          <w:szCs w:val="32"/>
        </w:rPr>
        <w:t>本细则自2020年XX月XX日起实施，有效期</w:t>
      </w:r>
      <w:r>
        <w:rPr>
          <w:rFonts w:hint="eastAsia" w:eastAsia="仿宋_GB2312"/>
          <w:sz w:val="32"/>
          <w:szCs w:val="32"/>
        </w:rPr>
        <w:t>3</w:t>
      </w:r>
      <w:r>
        <w:rPr>
          <w:rFonts w:eastAsia="仿宋_GB2312"/>
          <w:sz w:val="32"/>
          <w:szCs w:val="32"/>
        </w:rPr>
        <w:t>年。</w:t>
      </w:r>
      <w:r>
        <w:rPr>
          <w:rFonts w:hint="eastAsia" w:eastAsia="仿宋_GB2312"/>
          <w:sz w:val="32"/>
          <w:szCs w:val="32"/>
        </w:rPr>
        <w:t>原《佛山高新技术产业开发区管理委员会独角兽（潜在、种子）企业认定及扶持办法》（佛高新〔2019〕57号）废止</w:t>
      </w:r>
      <w:r>
        <w:rPr>
          <w:rFonts w:eastAsia="仿宋_GB2312"/>
          <w:sz w:val="32"/>
          <w:szCs w:val="32"/>
        </w:rPr>
        <w:t>。</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7281121"/>
      <w:docPartObj>
        <w:docPartGallery w:val="AutoText"/>
      </w:docPartObj>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8D"/>
    <w:rsid w:val="00015676"/>
    <w:rsid w:val="00033F8D"/>
    <w:rsid w:val="000428FA"/>
    <w:rsid w:val="000504B5"/>
    <w:rsid w:val="000745B3"/>
    <w:rsid w:val="00080B09"/>
    <w:rsid w:val="00093DAC"/>
    <w:rsid w:val="000B42D9"/>
    <w:rsid w:val="001215A2"/>
    <w:rsid w:val="00121688"/>
    <w:rsid w:val="001244B4"/>
    <w:rsid w:val="00166F1A"/>
    <w:rsid w:val="0018478D"/>
    <w:rsid w:val="00184C5A"/>
    <w:rsid w:val="00191A1F"/>
    <w:rsid w:val="001C41FF"/>
    <w:rsid w:val="001D2115"/>
    <w:rsid w:val="001D3D55"/>
    <w:rsid w:val="00297481"/>
    <w:rsid w:val="002A796A"/>
    <w:rsid w:val="002B1E86"/>
    <w:rsid w:val="002E172D"/>
    <w:rsid w:val="002E3678"/>
    <w:rsid w:val="00346CB2"/>
    <w:rsid w:val="003D08A2"/>
    <w:rsid w:val="003D278F"/>
    <w:rsid w:val="003F71FE"/>
    <w:rsid w:val="00401C76"/>
    <w:rsid w:val="00407B82"/>
    <w:rsid w:val="0041036B"/>
    <w:rsid w:val="004370FE"/>
    <w:rsid w:val="0045352B"/>
    <w:rsid w:val="00453610"/>
    <w:rsid w:val="00461A9F"/>
    <w:rsid w:val="00462FD7"/>
    <w:rsid w:val="0047290C"/>
    <w:rsid w:val="004759FC"/>
    <w:rsid w:val="004D3697"/>
    <w:rsid w:val="00522AE6"/>
    <w:rsid w:val="005362B3"/>
    <w:rsid w:val="005552C6"/>
    <w:rsid w:val="00574780"/>
    <w:rsid w:val="00590951"/>
    <w:rsid w:val="005939D4"/>
    <w:rsid w:val="005A6514"/>
    <w:rsid w:val="005D0C16"/>
    <w:rsid w:val="005F6070"/>
    <w:rsid w:val="005F76EC"/>
    <w:rsid w:val="006222CE"/>
    <w:rsid w:val="00625ED7"/>
    <w:rsid w:val="0063560A"/>
    <w:rsid w:val="006A0C3A"/>
    <w:rsid w:val="006D5A3E"/>
    <w:rsid w:val="007209FD"/>
    <w:rsid w:val="007366A5"/>
    <w:rsid w:val="00746309"/>
    <w:rsid w:val="0074764D"/>
    <w:rsid w:val="0076065B"/>
    <w:rsid w:val="00771594"/>
    <w:rsid w:val="0086584A"/>
    <w:rsid w:val="008A7325"/>
    <w:rsid w:val="008D5C7B"/>
    <w:rsid w:val="008D614A"/>
    <w:rsid w:val="00905C40"/>
    <w:rsid w:val="009412BD"/>
    <w:rsid w:val="009566EF"/>
    <w:rsid w:val="00975407"/>
    <w:rsid w:val="00993BC8"/>
    <w:rsid w:val="009C2661"/>
    <w:rsid w:val="009E0378"/>
    <w:rsid w:val="009F4FEF"/>
    <w:rsid w:val="00A2227F"/>
    <w:rsid w:val="00A45AFD"/>
    <w:rsid w:val="00AC0FAE"/>
    <w:rsid w:val="00B17E4F"/>
    <w:rsid w:val="00B31AFA"/>
    <w:rsid w:val="00B56CC6"/>
    <w:rsid w:val="00B6281E"/>
    <w:rsid w:val="00B63242"/>
    <w:rsid w:val="00B77054"/>
    <w:rsid w:val="00B95015"/>
    <w:rsid w:val="00BA1460"/>
    <w:rsid w:val="00C155D6"/>
    <w:rsid w:val="00C21DDA"/>
    <w:rsid w:val="00C367FF"/>
    <w:rsid w:val="00C71EEB"/>
    <w:rsid w:val="00CA2528"/>
    <w:rsid w:val="00CB1170"/>
    <w:rsid w:val="00CB6519"/>
    <w:rsid w:val="00CD7078"/>
    <w:rsid w:val="00D155A1"/>
    <w:rsid w:val="00D26343"/>
    <w:rsid w:val="00D5354A"/>
    <w:rsid w:val="00D60BEF"/>
    <w:rsid w:val="00D928A0"/>
    <w:rsid w:val="00E21A98"/>
    <w:rsid w:val="00E8485B"/>
    <w:rsid w:val="00EA1255"/>
    <w:rsid w:val="00EC4A48"/>
    <w:rsid w:val="00F141CD"/>
    <w:rsid w:val="00F3239D"/>
    <w:rsid w:val="00F37C59"/>
    <w:rsid w:val="00F50DB9"/>
    <w:rsid w:val="00F515F9"/>
    <w:rsid w:val="00FA0FA3"/>
    <w:rsid w:val="013B2F54"/>
    <w:rsid w:val="015E6080"/>
    <w:rsid w:val="06C65B9F"/>
    <w:rsid w:val="0904135D"/>
    <w:rsid w:val="0CF64F6A"/>
    <w:rsid w:val="0E3D7FE3"/>
    <w:rsid w:val="108965E9"/>
    <w:rsid w:val="15205DD1"/>
    <w:rsid w:val="19302128"/>
    <w:rsid w:val="1A794136"/>
    <w:rsid w:val="1A947D51"/>
    <w:rsid w:val="1EEE6007"/>
    <w:rsid w:val="21CB230E"/>
    <w:rsid w:val="223E327D"/>
    <w:rsid w:val="263970A1"/>
    <w:rsid w:val="28A55745"/>
    <w:rsid w:val="2B8D0FEC"/>
    <w:rsid w:val="2E1228E9"/>
    <w:rsid w:val="316C20F2"/>
    <w:rsid w:val="33C6450E"/>
    <w:rsid w:val="372D4F34"/>
    <w:rsid w:val="40FD3C76"/>
    <w:rsid w:val="41CF0639"/>
    <w:rsid w:val="42D80EAB"/>
    <w:rsid w:val="42F021C9"/>
    <w:rsid w:val="43036EC5"/>
    <w:rsid w:val="47423C88"/>
    <w:rsid w:val="47BD600E"/>
    <w:rsid w:val="487D6DA9"/>
    <w:rsid w:val="49AB7A9A"/>
    <w:rsid w:val="4B470F41"/>
    <w:rsid w:val="4B4B5FAC"/>
    <w:rsid w:val="4B6041C5"/>
    <w:rsid w:val="4B6C2688"/>
    <w:rsid w:val="4D9125A8"/>
    <w:rsid w:val="4E7F6A6D"/>
    <w:rsid w:val="53EA6B00"/>
    <w:rsid w:val="5B394FA0"/>
    <w:rsid w:val="5BEC796F"/>
    <w:rsid w:val="5C9B2943"/>
    <w:rsid w:val="65693FDE"/>
    <w:rsid w:val="661315D8"/>
    <w:rsid w:val="6A03114A"/>
    <w:rsid w:val="6C83387E"/>
    <w:rsid w:val="6ED7627B"/>
    <w:rsid w:val="6EEA42B4"/>
    <w:rsid w:val="726E78A5"/>
    <w:rsid w:val="747A5593"/>
    <w:rsid w:val="78DC537B"/>
    <w:rsid w:val="7C3B3D9E"/>
    <w:rsid w:val="7E396AC2"/>
    <w:rsid w:val="7F6F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rPr>
  </w:style>
  <w:style w:type="character" w:styleId="9">
    <w:name w:val="Emphasis"/>
    <w:basedOn w:val="7"/>
    <w:qFormat/>
    <w:uiPriority w:val="0"/>
    <w:rPr>
      <w:i/>
      <w:iCs/>
    </w:rPr>
  </w:style>
  <w:style w:type="character" w:styleId="10">
    <w:name w:val="annotation reference"/>
    <w:basedOn w:val="7"/>
    <w:semiHidden/>
    <w:unhideWhenUsed/>
    <w:qFormat/>
    <w:uiPriority w:val="99"/>
    <w:rPr>
      <w:sz w:val="21"/>
      <w:szCs w:val="21"/>
    </w:rPr>
  </w:style>
  <w:style w:type="character" w:customStyle="1" w:styleId="11">
    <w:name w:val="页眉 字符"/>
    <w:basedOn w:val="7"/>
    <w:link w:val="5"/>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批注框文本 字符"/>
    <w:basedOn w:val="7"/>
    <w:link w:val="3"/>
    <w:semiHidden/>
    <w:qFormat/>
    <w:uiPriority w:val="99"/>
    <w:rPr>
      <w:rFonts w:ascii="Times New Roman" w:hAnsi="Times New Roman" w:eastAsia="宋体" w:cs="Times New Roman"/>
      <w:sz w:val="18"/>
      <w:szCs w:val="18"/>
    </w:rPr>
  </w:style>
  <w:style w:type="character" w:customStyle="1" w:styleId="14">
    <w:name w:val="批注文字 字符"/>
    <w:basedOn w:val="7"/>
    <w:link w:val="2"/>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757</Words>
  <Characters>4319</Characters>
  <Lines>35</Lines>
  <Paragraphs>10</Paragraphs>
  <TotalTime>10</TotalTime>
  <ScaleCrop>false</ScaleCrop>
  <LinksUpToDate>false</LinksUpToDate>
  <CharactersWithSpaces>5066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2020-07-13T02:28:00Z</dcterms:created>
  <dc:creator>jtt</dc:creator>
  <cp:lastModifiedBy>WPS_1504871374</cp:lastModifiedBy>
  <cp:lastPrinted>2020-07-12T01:40:00Z</cp:lastPrinted>
  <dcterms:modified xsi:type="dcterms:W3CDTF">2020-09-21T06:48:54Z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