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40"/>
        </w:rPr>
      </w:pPr>
      <w:r>
        <w:rPr>
          <w:rFonts w:hint="eastAsia" w:ascii="方正小标宋简体" w:hAnsi="方正小标宋简体" w:eastAsia="方正小标宋简体" w:cs="方正小标宋简体"/>
          <w:sz w:val="36"/>
          <w:szCs w:val="40"/>
        </w:rPr>
        <w:t>佛山高新技术产业开发区管理委员会关于</w:t>
      </w:r>
      <w:bookmarkStart w:id="0" w:name="_Hlk39244153"/>
      <w:r>
        <w:rPr>
          <w:rFonts w:hint="eastAsia" w:ascii="方正小标宋简体" w:hAnsi="方正小标宋简体" w:eastAsia="方正小标宋简体" w:cs="方正小标宋简体"/>
          <w:sz w:val="36"/>
          <w:szCs w:val="40"/>
        </w:rPr>
        <w:t>前沿</w:t>
      </w:r>
      <w:r>
        <w:rPr>
          <w:rFonts w:ascii="方正小标宋简体" w:hAnsi="方正小标宋简体" w:eastAsia="方正小标宋简体" w:cs="方正小标宋简体"/>
          <w:sz w:val="36"/>
          <w:szCs w:val="40"/>
        </w:rPr>
        <w:t>技术</w:t>
      </w:r>
    </w:p>
    <w:p>
      <w:pPr>
        <w:spacing w:line="560" w:lineRule="exact"/>
        <w:jc w:val="center"/>
        <w:rPr>
          <w:rFonts w:ascii="方正小标宋简体" w:hAnsi="方正小标宋简体" w:eastAsia="方正小标宋简体" w:cs="方正小标宋简体"/>
          <w:sz w:val="36"/>
          <w:szCs w:val="40"/>
        </w:rPr>
      </w:pPr>
      <w:r>
        <w:rPr>
          <w:rFonts w:ascii="方正小标宋简体" w:hAnsi="方正小标宋简体" w:eastAsia="方正小标宋简体" w:cs="方正小标宋简体"/>
          <w:sz w:val="36"/>
          <w:szCs w:val="40"/>
        </w:rPr>
        <w:t>应用场景试点示范</w:t>
      </w:r>
      <w:r>
        <w:rPr>
          <w:rFonts w:hint="eastAsia" w:ascii="方正小标宋简体" w:hAnsi="方正小标宋简体" w:eastAsia="方正小标宋简体" w:cs="方正小标宋简体"/>
          <w:sz w:val="36"/>
          <w:szCs w:val="40"/>
        </w:rPr>
        <w:t>项</w:t>
      </w:r>
      <w:bookmarkStart w:id="1" w:name="_GoBack"/>
      <w:bookmarkEnd w:id="1"/>
      <w:r>
        <w:rPr>
          <w:rFonts w:hint="eastAsia" w:ascii="方正小标宋简体" w:hAnsi="方正小标宋简体" w:eastAsia="方正小标宋简体" w:cs="方正小标宋简体"/>
          <w:sz w:val="36"/>
          <w:szCs w:val="40"/>
        </w:rPr>
        <w:t>目</w:t>
      </w:r>
      <w:bookmarkEnd w:id="0"/>
      <w:r>
        <w:rPr>
          <w:rFonts w:hint="eastAsia" w:ascii="方正小标宋简体" w:hAnsi="方正小标宋简体" w:eastAsia="方正小标宋简体" w:cs="方正小标宋简体"/>
          <w:sz w:val="36"/>
          <w:szCs w:val="40"/>
        </w:rPr>
        <w:t>的认定及资助实施细则</w:t>
      </w:r>
    </w:p>
    <w:p>
      <w:pPr>
        <w:rPr>
          <w:rFonts w:ascii="仿宋_GB2312" w:eastAsia="仿宋_GB2312"/>
          <w:sz w:val="32"/>
          <w:szCs w:val="32"/>
        </w:rPr>
      </w:pPr>
    </w:p>
    <w:p>
      <w:pPr>
        <w:numPr>
          <w:ilvl w:val="255"/>
          <w:numId w:val="0"/>
        </w:num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为推动具有前瞻性、先导性和探索性的重大技术在佛山高新区率先应用，打造前沿技术应用场景试点示范，加快提升佛山高新区先进技术实力，带动新兴技术产业集聚发展。佛山高新区管委会决定开展前沿技术应用场景试点示范项目认定及资助工作，特制定本细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本细则所指前沿技术应用场景是指为生物技术、信息技术、新材料技术、先进制造技术、先进能源技术、激光技术等前沿技术落地应用提供的技术实验项目，其作用是加快前沿技术落地，实现产业化应用。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第三条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佛山高新区管委会每年在佛山高新区经济发展专项资金中安排</w:t>
      </w:r>
      <w:r>
        <w:rPr>
          <w:rFonts w:hint="eastAsia" w:ascii="Times New Roman" w:hAnsi="Times New Roman" w:eastAsia="仿宋_GB2312" w:cs="Times New Roman"/>
          <w:sz w:val="32"/>
          <w:szCs w:val="32"/>
        </w:rPr>
        <w:t>一定数量</w:t>
      </w:r>
      <w:r>
        <w:rPr>
          <w:rFonts w:ascii="Times New Roman" w:hAnsi="Times New Roman" w:eastAsia="仿宋_GB2312" w:cs="Times New Roman"/>
          <w:sz w:val="32"/>
          <w:szCs w:val="32"/>
        </w:rPr>
        <w:t>财政资金用于支持前沿技术应用场景试点示范项目。通过资助一批前沿技术应用场景试点示范项目，提升佛山高新区产业创新能力，加快培育产业发展新动能。</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前沿技术应用场景试点示范项目的认定及资助实施细则；编制申报指南和通知，组织开展项目申报、评审、立项、结题等工作；组织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辖区内项目承担单位资金的使用进行指导与监督；</w:t>
      </w:r>
      <w:r>
        <w:rPr>
          <w:rFonts w:ascii="Times New Roman" w:hAnsi="Times New Roman" w:eastAsia="仿宋_GB2312" w:cs="Times New Roman"/>
          <w:sz w:val="32"/>
          <w:szCs w:val="32"/>
        </w:rPr>
        <w:t>接受佛山高新区管委会（科创局）业务指导和监督。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项目承担（申报）单位的主要职责是：按规定参与项目申报；建立健全单位内部经费管理制度，加强财务管理；负责具体项目实施和资金使用，以适当方式公开资金使用情况；接受有关部门监督检查。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认定条件</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第十一条 </w:t>
      </w:r>
      <w:r>
        <w:rPr>
          <w:rFonts w:ascii="Times New Roman" w:hAnsi="Times New Roman" w:eastAsia="仿宋_GB2312" w:cs="Times New Roman"/>
          <w:sz w:val="32"/>
          <w:szCs w:val="32"/>
        </w:rPr>
        <w:t>申报单位应具备下列基本条件：</w:t>
      </w:r>
    </w:p>
    <w:p>
      <w:pPr>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申报单位必须是在佛山高新区范围内依法设立并具有独立法人资格或纳入火炬统计的单位，信用记录良好，财务会计制度健全。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（二）鼓励以企业为主体，产学研结合，联合相关优势单位进行申报，并签订联合申报分工合作协议。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单位研发能力强，应具备独立的技术、产品研发团队和必要的研发条件或生产设备、设施、场所，拥有对应领域自主研发的发明专利不少于2项，上一年度企业研发费用占主营业务收入的比例不低于3%；申报示范项目建设所涉及全部或部分产品须为申报单位研发生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（四）申报示范项目应为</w:t>
      </w:r>
      <w:r>
        <w:rPr>
          <w:rFonts w:hint="eastAsia" w:ascii="Times New Roman" w:hAnsi="Times New Roman" w:eastAsia="仿宋_GB2312" w:cs="Times New Roman"/>
          <w:sz w:val="32"/>
          <w:szCs w:val="32"/>
        </w:rPr>
        <w:t>在建</w:t>
      </w:r>
      <w:r>
        <w:rPr>
          <w:rFonts w:ascii="Times New Roman" w:hAnsi="Times New Roman" w:eastAsia="仿宋_GB2312" w:cs="Times New Roman"/>
          <w:sz w:val="32"/>
          <w:szCs w:val="32"/>
        </w:rPr>
        <w:t>项目，且相关技术为对应领域前沿技术（不包括企业单纯技术改造、信息化建设或电商平台）。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（五）同一单位原则上只能申报一个项目。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（六）申报指南明确的其他条件。</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认定程序及资助政策</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第十二条 </w:t>
      </w:r>
      <w:r>
        <w:rPr>
          <w:rFonts w:ascii="Times New Roman" w:hAnsi="Times New Roman" w:eastAsia="仿宋_GB2312" w:cs="Times New Roman"/>
          <w:sz w:val="32"/>
          <w:szCs w:val="32"/>
          <w:lang w:bidi="ar"/>
        </w:rPr>
        <w:t>佛山高新区管委会每年开展一次认定，按照“申报、评审、审议、公示和公布”流程开展认定工作。项目评审遵循“公平公正、择优选取”的原则，科创局根据每年前沿技术应用场景试点示范项目计划和目标，择优遴选项目。具体认定流程如下：</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编制申报指南及通知，明确项目支持对象、组织形式、申报要求、申报时间、申报流程、材料要求等内容，申报指南和通知在“佛山扶持通”发布。</w:t>
      </w:r>
    </w:p>
    <w:p>
      <w:pPr>
        <w:autoSpaceDE w:val="0"/>
        <w:spacing w:line="580" w:lineRule="exact"/>
        <w:ind w:firstLine="640" w:firstLineChars="200"/>
        <w:rPr>
          <w:rFonts w:ascii="Times New Roman" w:hAnsi="Times New Roman" w:eastAsia="仿宋_GB2312" w:cs="Times New Roman"/>
          <w:iCs/>
          <w:sz w:val="32"/>
          <w:szCs w:val="32"/>
          <w:shd w:val="clear" w:color="auto" w:fill="FFFFFF"/>
          <w:lang w:bidi="ar"/>
        </w:rPr>
      </w:pPr>
      <w:r>
        <w:rPr>
          <w:rFonts w:ascii="Times New Roman" w:hAnsi="Times New Roman" w:eastAsia="楷体" w:cs="Times New Roman"/>
          <w:bCs/>
          <w:sz w:val="32"/>
          <w:szCs w:val="32"/>
          <w:lang w:bidi="ar"/>
        </w:rPr>
        <w:t>2</w:t>
      </w:r>
      <w:r>
        <w:rPr>
          <w:rFonts w:ascii="Times New Roman" w:hAnsi="Times New Roman" w:eastAsia="仿宋_GB2312" w:cs="Times New Roman"/>
          <w:sz w:val="32"/>
          <w:szCs w:val="32"/>
          <w:lang w:bidi="ar"/>
        </w:rPr>
        <w:t>.申报单位登陆“佛山扶持通”，按照当年度发布的申报指南及通知要求，在线填写项目申报书，并上传相关证明材料和附件。各园区管理局对申报材料进行初审。初审通过后，申报单位按要求提交纸质材料。</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申报材料包括以下内容：（1）《佛山高新区前沿技术应用场景试点示范项目申报书》；（2）《佛山高新区项目申报单位信息表》；（3）企业营业执照或事业单位法人证书副本、税务登记证；（4）近3年财务审计报告（若财务审计报告没有研发费用支出，须提供当年度研发费用专项审计报告）；（5）项目投资的合同、发票等相关证明材料；（6）法定代表人、项目负责人或项目组成员相关证明材料（身份证、学历学位证书、职称及职务证明材料等）；（7）前沿技术应用示范推广效果证明材料；（8）联合申报的需要提供联合申报合作协议；（9）项目支出预算材料；（10）项目可行性研究报告；（11）其他与本项目相关的证明材料（包括但不限于高新技术企业证书、科学技术成果鉴定证书、专利证书、各类获奖证书、列入国家计划文件或证书等）。</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佛山高新区管委会（科创局）或委托第三方机构进行项目评审，经书面评审、现场考察等程序，形成佛山高新区前沿技术应用场景试点示范项目推荐名单。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书面评审可采取线上评审或线下评审方式，由评审专家组根据申报指南中明确的申报条件和要求对申报单位提交的申报材料进行评审，形成专家组书面评审意见。</w:t>
      </w:r>
    </w:p>
    <w:p>
      <w:pPr>
        <w:autoSpaceDE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现场考察由评审专家组赴申报单位进行实地走访考察，实地了解申报单位发展状况和试点示范项目等情况，形成专家组现场考察意见。</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推荐名单经佛山高新区管委会主任办公会议讨论研究，形成拟认定名单。</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（五）公布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公示无异议后，认定名单在“佛山扶持通”对外公开发布。</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第十三条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对获得前沿技术应用场景试点示范项目认定的企事业单位，按照项目投资的20%比例给予事后补助，最高额度不超过100万元。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rPr>
        <w:t>鼓励各园区管理局根据实际情况给予配套支持。</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佛山高新区</w:t>
      </w:r>
      <w:r>
        <w:rPr>
          <w:rFonts w:ascii="Times New Roman" w:hAnsi="Times New Roman" w:eastAsia="仿宋_GB2312" w:cs="Times New Roman"/>
          <w:sz w:val="32"/>
          <w:szCs w:val="32"/>
        </w:rPr>
        <w:t>前沿技术应用场景试点示范项目</w:t>
      </w:r>
      <w:r>
        <w:rPr>
          <w:rFonts w:ascii="Times New Roman" w:hAnsi="Times New Roman" w:eastAsia="仿宋_GB2312" w:cs="Times New Roman"/>
          <w:sz w:val="32"/>
          <w:szCs w:val="32"/>
          <w:lang w:bidi="ar"/>
        </w:rPr>
        <w:t>认定后，按照佛山高新区财政专项经费支出管理办法规定审批程序，做好资金支出审批。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rPr>
        <w:t>前沿技术应用场景试点示范项目</w:t>
      </w:r>
      <w:r>
        <w:rPr>
          <w:rFonts w:ascii="Times New Roman" w:hAnsi="Times New Roman" w:eastAsia="仿宋_GB2312" w:cs="Times New Roman"/>
          <w:sz w:val="32"/>
          <w:szCs w:val="32"/>
          <w:lang w:bidi="ar"/>
        </w:rPr>
        <w:t>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w:t>
      </w:r>
      <w:r>
        <w:rPr>
          <w:rFonts w:ascii="Times New Roman" w:hAnsi="Times New Roman" w:eastAsia="仿宋_GB2312" w:cs="Times New Roman"/>
          <w:sz w:val="32"/>
          <w:szCs w:val="32"/>
        </w:rPr>
        <w:t>前沿技术应用场景试点示范项目</w:t>
      </w:r>
      <w:r>
        <w:rPr>
          <w:rFonts w:ascii="Times New Roman" w:hAnsi="Times New Roman" w:eastAsia="仿宋_GB2312" w:cs="Times New Roman"/>
          <w:sz w:val="32"/>
          <w:szCs w:val="32"/>
          <w:lang w:bidi="ar"/>
        </w:rPr>
        <w:t>扶持资金的绩效指标完成情况和预算执行情况进行评价，形成自评报告报佛山高新区管委会（规财局）备案。绩效评价具体工作参照佛山高新区经济发展专项资金管理办法的相关规定开展。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负责项目的监督与管理，并做好各园区管理局工作的指导与监督。</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widowControl/>
        <w:spacing w:line="580" w:lineRule="exact"/>
        <w:ind w:firstLine="640" w:firstLineChars="200"/>
        <w:rPr>
          <w:rFonts w:ascii="Times New Roman" w:hAnsi="Times New Roman" w:eastAsia="仿宋_GB2312" w:cs="Times New Roman"/>
          <w:sz w:val="32"/>
          <w:szCs w:val="32"/>
          <w:lang w:bidi="ar"/>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和评审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widowControl/>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rPr>
        <w:t>除政策明确规定额外奖补情况外，对符合本细则同时又符合佛山高新区其他扶持政策规定的</w:t>
      </w:r>
      <w:r>
        <w:rPr>
          <w:rFonts w:hint="eastAsia" w:ascii="Times New Roman" w:hAnsi="Times New Roman" w:eastAsia="仿宋_GB2312" w:cs="Times New Roman"/>
          <w:sz w:val="32"/>
        </w:rPr>
        <w:t>同类</w:t>
      </w:r>
      <w:r>
        <w:rPr>
          <w:rFonts w:ascii="Times New Roman" w:hAnsi="Times New Roman" w:eastAsia="仿宋_GB2312" w:cs="Times New Roman"/>
          <w:sz w:val="32"/>
        </w:rPr>
        <w:t>事项，按照“从高不重复原则”给予支持。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第二十五条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p>
      <w:pPr>
        <w:spacing w:line="580" w:lineRule="exact"/>
        <w:ind w:firstLine="640" w:firstLineChars="200"/>
        <w:rPr>
          <w:rFonts w:ascii="Times New Roman" w:hAnsi="Times New Roman" w:eastAsia="仿宋" w:cs="Times New Roman"/>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816205"/>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E4"/>
    <w:rsid w:val="0000116B"/>
    <w:rsid w:val="00002CAC"/>
    <w:rsid w:val="00010266"/>
    <w:rsid w:val="00026D22"/>
    <w:rsid w:val="000470E9"/>
    <w:rsid w:val="00050852"/>
    <w:rsid w:val="000557FB"/>
    <w:rsid w:val="000745C3"/>
    <w:rsid w:val="000A184F"/>
    <w:rsid w:val="000B2C60"/>
    <w:rsid w:val="000B502B"/>
    <w:rsid w:val="000C25DD"/>
    <w:rsid w:val="000C64E7"/>
    <w:rsid w:val="000D0E55"/>
    <w:rsid w:val="000E0C1D"/>
    <w:rsid w:val="000F1A52"/>
    <w:rsid w:val="000F492F"/>
    <w:rsid w:val="000F4AE4"/>
    <w:rsid w:val="00123E9A"/>
    <w:rsid w:val="001256AE"/>
    <w:rsid w:val="00134D45"/>
    <w:rsid w:val="0017212F"/>
    <w:rsid w:val="00186683"/>
    <w:rsid w:val="001A4B07"/>
    <w:rsid w:val="001C63D8"/>
    <w:rsid w:val="001F3609"/>
    <w:rsid w:val="00211593"/>
    <w:rsid w:val="002159F6"/>
    <w:rsid w:val="002161A7"/>
    <w:rsid w:val="002364C6"/>
    <w:rsid w:val="00241FED"/>
    <w:rsid w:val="00242CAC"/>
    <w:rsid w:val="00250949"/>
    <w:rsid w:val="0025297A"/>
    <w:rsid w:val="00252F09"/>
    <w:rsid w:val="00297C52"/>
    <w:rsid w:val="002A6377"/>
    <w:rsid w:val="002B59B1"/>
    <w:rsid w:val="002C00E4"/>
    <w:rsid w:val="002D2601"/>
    <w:rsid w:val="002E3678"/>
    <w:rsid w:val="002E3CAE"/>
    <w:rsid w:val="002F336A"/>
    <w:rsid w:val="002F36A0"/>
    <w:rsid w:val="00311315"/>
    <w:rsid w:val="00317949"/>
    <w:rsid w:val="003334EE"/>
    <w:rsid w:val="0034093A"/>
    <w:rsid w:val="003624E4"/>
    <w:rsid w:val="00362652"/>
    <w:rsid w:val="00364FB1"/>
    <w:rsid w:val="00367F38"/>
    <w:rsid w:val="00383831"/>
    <w:rsid w:val="00383B0C"/>
    <w:rsid w:val="003D4CA7"/>
    <w:rsid w:val="003D508E"/>
    <w:rsid w:val="003E6530"/>
    <w:rsid w:val="00401DE2"/>
    <w:rsid w:val="00402779"/>
    <w:rsid w:val="0041076A"/>
    <w:rsid w:val="00415B2D"/>
    <w:rsid w:val="00423C5E"/>
    <w:rsid w:val="004267CE"/>
    <w:rsid w:val="00430170"/>
    <w:rsid w:val="00433918"/>
    <w:rsid w:val="004415AF"/>
    <w:rsid w:val="00457C3A"/>
    <w:rsid w:val="00493152"/>
    <w:rsid w:val="004B25BE"/>
    <w:rsid w:val="004B7ABA"/>
    <w:rsid w:val="004C14AF"/>
    <w:rsid w:val="004C15E5"/>
    <w:rsid w:val="004C4163"/>
    <w:rsid w:val="004C551A"/>
    <w:rsid w:val="004E080C"/>
    <w:rsid w:val="004E622A"/>
    <w:rsid w:val="004F3B4D"/>
    <w:rsid w:val="00503267"/>
    <w:rsid w:val="0052159C"/>
    <w:rsid w:val="00523FE4"/>
    <w:rsid w:val="005326BC"/>
    <w:rsid w:val="00557FCA"/>
    <w:rsid w:val="00561006"/>
    <w:rsid w:val="0056632A"/>
    <w:rsid w:val="00570183"/>
    <w:rsid w:val="00573AF7"/>
    <w:rsid w:val="005758FC"/>
    <w:rsid w:val="00595390"/>
    <w:rsid w:val="005A06E1"/>
    <w:rsid w:val="005C646B"/>
    <w:rsid w:val="005F089C"/>
    <w:rsid w:val="0061608A"/>
    <w:rsid w:val="0061711F"/>
    <w:rsid w:val="00621EF8"/>
    <w:rsid w:val="00630193"/>
    <w:rsid w:val="00633A6A"/>
    <w:rsid w:val="00641161"/>
    <w:rsid w:val="006412CD"/>
    <w:rsid w:val="00642D53"/>
    <w:rsid w:val="00652E69"/>
    <w:rsid w:val="00670816"/>
    <w:rsid w:val="006765D0"/>
    <w:rsid w:val="00693232"/>
    <w:rsid w:val="006942AF"/>
    <w:rsid w:val="006F2F08"/>
    <w:rsid w:val="00705287"/>
    <w:rsid w:val="007053CB"/>
    <w:rsid w:val="0072159A"/>
    <w:rsid w:val="00737F42"/>
    <w:rsid w:val="00741D4A"/>
    <w:rsid w:val="00750EA6"/>
    <w:rsid w:val="0076065B"/>
    <w:rsid w:val="00763B2D"/>
    <w:rsid w:val="00766FE9"/>
    <w:rsid w:val="007721BE"/>
    <w:rsid w:val="0078328F"/>
    <w:rsid w:val="00783941"/>
    <w:rsid w:val="0079609E"/>
    <w:rsid w:val="007A35F7"/>
    <w:rsid w:val="007A4195"/>
    <w:rsid w:val="007A7A61"/>
    <w:rsid w:val="007C33E2"/>
    <w:rsid w:val="007D7F7C"/>
    <w:rsid w:val="007E0147"/>
    <w:rsid w:val="007F5D82"/>
    <w:rsid w:val="00806C91"/>
    <w:rsid w:val="00813DC9"/>
    <w:rsid w:val="008232E1"/>
    <w:rsid w:val="00831EC0"/>
    <w:rsid w:val="008349B4"/>
    <w:rsid w:val="008412DA"/>
    <w:rsid w:val="0084276B"/>
    <w:rsid w:val="0084393E"/>
    <w:rsid w:val="00845ADD"/>
    <w:rsid w:val="0084672A"/>
    <w:rsid w:val="00862B68"/>
    <w:rsid w:val="008722F2"/>
    <w:rsid w:val="008730BF"/>
    <w:rsid w:val="008735F7"/>
    <w:rsid w:val="0088177D"/>
    <w:rsid w:val="008A2A37"/>
    <w:rsid w:val="008A7325"/>
    <w:rsid w:val="008B143D"/>
    <w:rsid w:val="008C00B4"/>
    <w:rsid w:val="008D0B2A"/>
    <w:rsid w:val="008E028D"/>
    <w:rsid w:val="008E6151"/>
    <w:rsid w:val="00900EC7"/>
    <w:rsid w:val="009018A0"/>
    <w:rsid w:val="00911CAD"/>
    <w:rsid w:val="00913C98"/>
    <w:rsid w:val="009149F1"/>
    <w:rsid w:val="00927456"/>
    <w:rsid w:val="0093046B"/>
    <w:rsid w:val="009441A6"/>
    <w:rsid w:val="0094740D"/>
    <w:rsid w:val="009502B4"/>
    <w:rsid w:val="009530FC"/>
    <w:rsid w:val="0096272B"/>
    <w:rsid w:val="00963E36"/>
    <w:rsid w:val="0097502A"/>
    <w:rsid w:val="00976064"/>
    <w:rsid w:val="009761AE"/>
    <w:rsid w:val="009865FB"/>
    <w:rsid w:val="009A0E10"/>
    <w:rsid w:val="009B0626"/>
    <w:rsid w:val="009B53AD"/>
    <w:rsid w:val="009C4A8A"/>
    <w:rsid w:val="009C79CC"/>
    <w:rsid w:val="009D1D89"/>
    <w:rsid w:val="009D73A3"/>
    <w:rsid w:val="009F042F"/>
    <w:rsid w:val="009F3B8B"/>
    <w:rsid w:val="00A03756"/>
    <w:rsid w:val="00A20970"/>
    <w:rsid w:val="00A24EBB"/>
    <w:rsid w:val="00A31CFF"/>
    <w:rsid w:val="00A423FF"/>
    <w:rsid w:val="00A469CB"/>
    <w:rsid w:val="00A539EB"/>
    <w:rsid w:val="00A564EE"/>
    <w:rsid w:val="00A605AC"/>
    <w:rsid w:val="00AC4254"/>
    <w:rsid w:val="00AD4411"/>
    <w:rsid w:val="00AE1753"/>
    <w:rsid w:val="00B01F34"/>
    <w:rsid w:val="00B02F1B"/>
    <w:rsid w:val="00B05079"/>
    <w:rsid w:val="00B31AFA"/>
    <w:rsid w:val="00B41C8B"/>
    <w:rsid w:val="00B4747B"/>
    <w:rsid w:val="00B55DC8"/>
    <w:rsid w:val="00B66691"/>
    <w:rsid w:val="00B71314"/>
    <w:rsid w:val="00B83529"/>
    <w:rsid w:val="00B843EC"/>
    <w:rsid w:val="00B92ACF"/>
    <w:rsid w:val="00B96862"/>
    <w:rsid w:val="00B969D2"/>
    <w:rsid w:val="00BB2D26"/>
    <w:rsid w:val="00BB768E"/>
    <w:rsid w:val="00BC0771"/>
    <w:rsid w:val="00BC6A63"/>
    <w:rsid w:val="00BC7CEF"/>
    <w:rsid w:val="00BD0B4A"/>
    <w:rsid w:val="00C1099E"/>
    <w:rsid w:val="00C13202"/>
    <w:rsid w:val="00C26E50"/>
    <w:rsid w:val="00C3548E"/>
    <w:rsid w:val="00C36E48"/>
    <w:rsid w:val="00C60EA9"/>
    <w:rsid w:val="00C618AB"/>
    <w:rsid w:val="00C746EA"/>
    <w:rsid w:val="00C95F57"/>
    <w:rsid w:val="00CA626B"/>
    <w:rsid w:val="00CB7D7A"/>
    <w:rsid w:val="00CD0D36"/>
    <w:rsid w:val="00CD1B79"/>
    <w:rsid w:val="00CD3002"/>
    <w:rsid w:val="00CD3E74"/>
    <w:rsid w:val="00CE3F67"/>
    <w:rsid w:val="00CF7DE8"/>
    <w:rsid w:val="00D044C1"/>
    <w:rsid w:val="00D05DEB"/>
    <w:rsid w:val="00D05E39"/>
    <w:rsid w:val="00D14EBC"/>
    <w:rsid w:val="00D21065"/>
    <w:rsid w:val="00D23167"/>
    <w:rsid w:val="00D30AC7"/>
    <w:rsid w:val="00D4725E"/>
    <w:rsid w:val="00D50855"/>
    <w:rsid w:val="00D6455B"/>
    <w:rsid w:val="00D652F0"/>
    <w:rsid w:val="00D8705C"/>
    <w:rsid w:val="00D910B8"/>
    <w:rsid w:val="00DA21F3"/>
    <w:rsid w:val="00DA4093"/>
    <w:rsid w:val="00DC3C96"/>
    <w:rsid w:val="00DD1D5A"/>
    <w:rsid w:val="00DD35C2"/>
    <w:rsid w:val="00DD74E0"/>
    <w:rsid w:val="00DE1C13"/>
    <w:rsid w:val="00DE4CB1"/>
    <w:rsid w:val="00E114FA"/>
    <w:rsid w:val="00E201B8"/>
    <w:rsid w:val="00E217F3"/>
    <w:rsid w:val="00E2381E"/>
    <w:rsid w:val="00E27DA4"/>
    <w:rsid w:val="00E3162D"/>
    <w:rsid w:val="00E36B96"/>
    <w:rsid w:val="00E452EB"/>
    <w:rsid w:val="00E503A4"/>
    <w:rsid w:val="00E55160"/>
    <w:rsid w:val="00E567ED"/>
    <w:rsid w:val="00E60967"/>
    <w:rsid w:val="00E676E4"/>
    <w:rsid w:val="00E7383B"/>
    <w:rsid w:val="00E741C4"/>
    <w:rsid w:val="00E81AE0"/>
    <w:rsid w:val="00E8601C"/>
    <w:rsid w:val="00E93378"/>
    <w:rsid w:val="00EA5FCF"/>
    <w:rsid w:val="00EA6130"/>
    <w:rsid w:val="00EC4A91"/>
    <w:rsid w:val="00EE0B6E"/>
    <w:rsid w:val="00EE57EA"/>
    <w:rsid w:val="00EE60D1"/>
    <w:rsid w:val="00EF1F4F"/>
    <w:rsid w:val="00EF4982"/>
    <w:rsid w:val="00EF49F9"/>
    <w:rsid w:val="00F0714A"/>
    <w:rsid w:val="00F23533"/>
    <w:rsid w:val="00F23CDD"/>
    <w:rsid w:val="00F23E1A"/>
    <w:rsid w:val="00F42425"/>
    <w:rsid w:val="00F4246F"/>
    <w:rsid w:val="00F4642A"/>
    <w:rsid w:val="00F46810"/>
    <w:rsid w:val="00F479D1"/>
    <w:rsid w:val="00F6051B"/>
    <w:rsid w:val="00F708F6"/>
    <w:rsid w:val="00F8659F"/>
    <w:rsid w:val="00F930A1"/>
    <w:rsid w:val="00F93281"/>
    <w:rsid w:val="00F93E13"/>
    <w:rsid w:val="00FA7D68"/>
    <w:rsid w:val="00FD67DF"/>
    <w:rsid w:val="00FF457D"/>
    <w:rsid w:val="00FF6A5E"/>
    <w:rsid w:val="00FF7E9A"/>
    <w:rsid w:val="153C5183"/>
    <w:rsid w:val="1EE22AC8"/>
    <w:rsid w:val="253A69E4"/>
    <w:rsid w:val="2AAE368E"/>
    <w:rsid w:val="363B7E20"/>
    <w:rsid w:val="40CD426F"/>
    <w:rsid w:val="4BB32E8B"/>
    <w:rsid w:val="4EB30CF7"/>
    <w:rsid w:val="6D4D0E23"/>
    <w:rsid w:val="769F4211"/>
    <w:rsid w:val="7C1F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uiPriority w:val="99"/>
    <w:rPr>
      <w:color w:val="337AB7"/>
      <w:u w:val="none"/>
    </w:rPr>
  </w:style>
  <w:style w:type="character" w:styleId="10">
    <w:name w:val="Emphasis"/>
    <w:basedOn w:val="7"/>
    <w:qFormat/>
    <w:uiPriority w:val="0"/>
    <w:rPr>
      <w:i/>
      <w:iCs/>
    </w:rPr>
  </w:style>
  <w:style w:type="character" w:styleId="11">
    <w:name w:val="HTML Definition"/>
    <w:basedOn w:val="7"/>
    <w:semiHidden/>
    <w:unhideWhenUsed/>
    <w:qFormat/>
    <w:uiPriority w:val="99"/>
    <w:rPr>
      <w:i/>
    </w:rPr>
  </w:style>
  <w:style w:type="character" w:styleId="12">
    <w:name w:val="Hyperlink"/>
    <w:basedOn w:val="7"/>
    <w:semiHidden/>
    <w:unhideWhenUsed/>
    <w:qFormat/>
    <w:uiPriority w:val="99"/>
    <w:rPr>
      <w:color w:val="337AB7"/>
      <w:u w:val="none"/>
    </w:rPr>
  </w:style>
  <w:style w:type="character" w:styleId="13">
    <w:name w:val="HTML Code"/>
    <w:basedOn w:val="7"/>
    <w:semiHidden/>
    <w:unhideWhenUsed/>
    <w:uiPriority w:val="99"/>
    <w:rPr>
      <w:rFonts w:hint="default" w:ascii="Consolas" w:hAnsi="Consolas" w:eastAsia="Consolas" w:cs="Consolas"/>
      <w:color w:val="C7254E"/>
      <w:sz w:val="21"/>
      <w:szCs w:val="21"/>
      <w:shd w:val="clear" w:color="auto" w:fill="F9F2F4"/>
    </w:rPr>
  </w:style>
  <w:style w:type="character" w:styleId="14">
    <w:name w:val="HTML Keyboard"/>
    <w:basedOn w:val="7"/>
    <w:semiHidden/>
    <w:unhideWhenUsed/>
    <w:uiPriority w:val="99"/>
    <w:rPr>
      <w:rFonts w:hint="default" w:ascii="Consolas" w:hAnsi="Consolas" w:eastAsia="Consolas" w:cs="Consolas"/>
      <w:color w:val="FFFFFF"/>
      <w:sz w:val="21"/>
      <w:szCs w:val="21"/>
      <w:shd w:val="clear" w:color="auto" w:fill="333333"/>
    </w:rPr>
  </w:style>
  <w:style w:type="character" w:styleId="15">
    <w:name w:val="HTML Sample"/>
    <w:basedOn w:val="7"/>
    <w:semiHidden/>
    <w:unhideWhenUsed/>
    <w:uiPriority w:val="99"/>
    <w:rPr>
      <w:rFonts w:ascii="Consolas" w:hAnsi="Consolas" w:eastAsia="Consolas" w:cs="Consolas"/>
      <w:sz w:val="21"/>
      <w:szCs w:val="21"/>
    </w:rPr>
  </w:style>
  <w:style w:type="character" w:customStyle="1" w:styleId="16">
    <w:name w:val="页眉 字符"/>
    <w:basedOn w:val="7"/>
    <w:link w:val="4"/>
    <w:qFormat/>
    <w:uiPriority w:val="99"/>
    <w:rPr>
      <w:sz w:val="18"/>
      <w:szCs w:val="18"/>
    </w:rPr>
  </w:style>
  <w:style w:type="character" w:customStyle="1" w:styleId="17">
    <w:name w:val="页脚 字符"/>
    <w:basedOn w:val="7"/>
    <w:link w:val="3"/>
    <w:qFormat/>
    <w:uiPriority w:val="99"/>
    <w:rPr>
      <w:sz w:val="18"/>
      <w:szCs w:val="18"/>
    </w:rPr>
  </w:style>
  <w:style w:type="character" w:customStyle="1" w:styleId="18">
    <w:name w:val="批注框文本 字符"/>
    <w:basedOn w:val="7"/>
    <w:link w:val="2"/>
    <w:semiHidden/>
    <w:uiPriority w:val="99"/>
    <w:rPr>
      <w:sz w:val="18"/>
      <w:szCs w:val="18"/>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item-name"/>
    <w:basedOn w:val="7"/>
    <w:qFormat/>
    <w:uiPriority w:val="0"/>
  </w:style>
  <w:style w:type="character" w:customStyle="1" w:styleId="21">
    <w:name w:val="item-name1"/>
    <w:basedOn w:val="7"/>
    <w:qFormat/>
    <w:uiPriority w:val="0"/>
  </w:style>
  <w:style w:type="character" w:customStyle="1" w:styleId="22">
    <w:name w:val="time"/>
    <w:basedOn w:val="7"/>
    <w:qFormat/>
    <w:uiPriority w:val="0"/>
    <w:rPr>
      <w:color w:val="666666"/>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A660F-EA77-487A-8B33-8CEB4D445BF9}">
  <ds:schemaRefs/>
</ds:datastoreItem>
</file>

<file path=docProps/app.xml><?xml version="1.0" encoding="utf-8"?>
<Properties xmlns="http://schemas.openxmlformats.org/officeDocument/2006/extended-properties" xmlns:vt="http://schemas.openxmlformats.org/officeDocument/2006/docPropsVTypes">
  <Template>Normal</Template>
  <Pages>8</Pages>
  <Words>555</Words>
  <Characters>3169</Characters>
  <Lines>26</Lines>
  <Paragraphs>7</Paragraphs>
  <TotalTime>8</TotalTime>
  <ScaleCrop>false</ScaleCrop>
  <LinksUpToDate>false</LinksUpToDate>
  <CharactersWithSpaces>3717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2020-07-13T03:38:00Z</dcterms:created>
  <dc:creator>jtt</dc:creator>
  <cp:lastModifiedBy>WPS_1504871374</cp:lastModifiedBy>
  <dcterms:modified xsi:type="dcterms:W3CDTF">2020-09-21T06:49:47Z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