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napToGrid/>
        <w:spacing w:line="560" w:lineRule="exact"/>
        <w:jc w:val="center"/>
        <w:textAlignment w:val="auto"/>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佛</w:t>
      </w:r>
      <w:r>
        <w:rPr>
          <w:rFonts w:hint="eastAsia" w:ascii="方正小标宋简体" w:hAnsi="方正小标宋简体" w:eastAsia="方正小标宋简体" w:cs="方正小标宋简体"/>
          <w:spacing w:val="-11"/>
          <w:sz w:val="44"/>
          <w:szCs w:val="44"/>
          <w:highlight w:val="none"/>
        </w:rPr>
        <w:t>山高新技术产业开发区管理委员会关于制造业</w:t>
      </w:r>
      <w:r>
        <w:rPr>
          <w:rFonts w:ascii="方正小标宋简体" w:hAnsi="方正小标宋简体" w:eastAsia="方正小标宋简体" w:cs="方正小标宋简体"/>
          <w:sz w:val="44"/>
          <w:szCs w:val="44"/>
          <w:highlight w:val="none"/>
        </w:rPr>
        <w:t>单打冠军企业的</w:t>
      </w:r>
      <w:r>
        <w:rPr>
          <w:rFonts w:hint="eastAsia" w:ascii="方正小标宋简体" w:hAnsi="方正小标宋简体" w:eastAsia="方正小标宋简体" w:cs="方正小标宋简体"/>
          <w:sz w:val="44"/>
          <w:szCs w:val="44"/>
          <w:highlight w:val="none"/>
        </w:rPr>
        <w:t>认定及资助实施细则</w:t>
      </w:r>
    </w:p>
    <w:p>
      <w:pPr>
        <w:keepNext w:val="0"/>
        <w:keepLines w:val="0"/>
        <w:pageBreakBefore w:val="0"/>
        <w:kinsoku/>
        <w:wordWrap/>
        <w:overflowPunct/>
        <w:topLinePunct w:val="0"/>
        <w:autoSpaceDN/>
        <w:bidi w:val="0"/>
        <w:adjustRightInd/>
        <w:snapToGrid/>
        <w:spacing w:line="560" w:lineRule="exact"/>
        <w:textAlignment w:val="auto"/>
        <w:rPr>
          <w:rFonts w:ascii="仿宋" w:hAnsi="仿宋" w:eastAsia="仿宋"/>
          <w:sz w:val="32"/>
          <w:szCs w:val="32"/>
          <w:highlight w:val="none"/>
        </w:rPr>
      </w:pPr>
    </w:p>
    <w:p>
      <w:pPr>
        <w:keepNext w:val="0"/>
        <w:keepLines w:val="0"/>
        <w:pageBreakBefore w:val="0"/>
        <w:kinsoku/>
        <w:wordWrap/>
        <w:overflowPunct/>
        <w:topLinePunct w:val="0"/>
        <w:autoSpaceDN/>
        <w:bidi w:val="0"/>
        <w:adjustRightInd/>
        <w:snapToGrid/>
        <w:spacing w:line="560" w:lineRule="exact"/>
        <w:jc w:val="center"/>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第一章</w:t>
      </w:r>
      <w:r>
        <w:rPr>
          <w:rFonts w:ascii="黑体" w:hAnsi="黑体" w:eastAsia="黑体" w:cs="黑体"/>
          <w:sz w:val="32"/>
          <w:szCs w:val="32"/>
          <w:highlight w:val="none"/>
        </w:rPr>
        <w:t xml:space="preserve"> </w:t>
      </w:r>
      <w:r>
        <w:rPr>
          <w:rFonts w:hint="eastAsia" w:ascii="黑体" w:hAnsi="黑体" w:eastAsia="黑体" w:cs="黑体"/>
          <w:sz w:val="32"/>
          <w:szCs w:val="32"/>
          <w:highlight w:val="none"/>
        </w:rPr>
        <w:t>总则</w:t>
      </w:r>
    </w:p>
    <w:p>
      <w:pPr>
        <w:keepNext w:val="0"/>
        <w:keepLines w:val="0"/>
        <w:pageBreakBefore w:val="0"/>
        <w:kinsoku/>
        <w:wordWrap/>
        <w:overflowPunct/>
        <w:topLinePunct w:val="0"/>
        <w:autoSpaceDN/>
        <w:bidi w:val="0"/>
        <w:adjustRightInd/>
        <w:snapToGrid/>
        <w:spacing w:line="560" w:lineRule="exact"/>
        <w:jc w:val="center"/>
        <w:textAlignment w:val="auto"/>
        <w:rPr>
          <w:rFonts w:ascii="黑体" w:hAnsi="黑体" w:eastAsia="黑体" w:cs="黑体"/>
          <w:sz w:val="32"/>
          <w:szCs w:val="32"/>
          <w:highlight w:val="none"/>
        </w:rPr>
      </w:pP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shd w:val="clear" w:color="auto" w:fill="FFFFFF"/>
        </w:rPr>
      </w:pPr>
      <w:r>
        <w:rPr>
          <w:rFonts w:hint="eastAsia" w:ascii="黑体" w:hAnsi="黑体" w:eastAsia="黑体" w:cs="黑体"/>
          <w:sz w:val="32"/>
          <w:szCs w:val="32"/>
          <w:highlight w:val="none"/>
        </w:rPr>
        <w:t>第一条</w:t>
      </w:r>
      <w:r>
        <w:rPr>
          <w:rFonts w:ascii="仿宋" w:hAnsi="仿宋" w:eastAsia="仿宋" w:cs="Times New Roman"/>
          <w:bCs/>
          <w:sz w:val="32"/>
          <w:szCs w:val="32"/>
          <w:highlight w:val="none"/>
          <w:shd w:val="clear" w:color="auto" w:fill="FFFFFF"/>
        </w:rPr>
        <w:t xml:space="preserve"> </w:t>
      </w:r>
      <w:r>
        <w:rPr>
          <w:rFonts w:hint="eastAsia" w:ascii="仿宋" w:hAnsi="仿宋" w:eastAsia="仿宋" w:cs="Times New Roman"/>
          <w:sz w:val="32"/>
          <w:szCs w:val="32"/>
          <w:highlight w:val="none"/>
          <w:shd w:val="clear" w:color="auto" w:fill="FFFFFF"/>
        </w:rPr>
        <w:t>为引导制造企业专注创新和产品质量提升，加快推动佛山高新技术产业开发区（以下简称佛山高新区）制造业国际化时代到来，促进企业持续快速做强做大，塑造一批知名品牌，培育经济发展新引擎，加快区域产业转型升级和创新驱动发展，</w:t>
      </w:r>
      <w:r>
        <w:rPr>
          <w:rFonts w:hint="eastAsia" w:ascii="仿宋" w:hAnsi="仿宋" w:eastAsia="仿宋"/>
          <w:sz w:val="32"/>
          <w:szCs w:val="32"/>
          <w:highlight w:val="none"/>
          <w:shd w:val="clear" w:color="auto" w:fill="FFFFFF"/>
        </w:rPr>
        <w:t>佛山高新技术产业开发区管理委员会（以下简称佛山高新区管委会）</w:t>
      </w:r>
      <w:r>
        <w:rPr>
          <w:rFonts w:hint="eastAsia" w:ascii="仿宋" w:hAnsi="仿宋" w:eastAsia="仿宋" w:cs="Times New Roman"/>
          <w:sz w:val="32"/>
          <w:szCs w:val="32"/>
          <w:highlight w:val="none"/>
          <w:shd w:val="clear" w:color="auto" w:fill="FFFFFF"/>
        </w:rPr>
        <w:t>决定开展单制造业打冠军企业认定及扶持工作，特制定本细则。</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shd w:val="clear" w:color="auto" w:fill="FFFFFF"/>
        </w:rPr>
      </w:pPr>
      <w:r>
        <w:rPr>
          <w:rFonts w:hint="eastAsia" w:ascii="黑体" w:hAnsi="黑体" w:eastAsia="黑体" w:cs="黑体"/>
          <w:sz w:val="32"/>
          <w:szCs w:val="32"/>
          <w:highlight w:val="none"/>
        </w:rPr>
        <w:t>第二条</w:t>
      </w:r>
      <w:r>
        <w:rPr>
          <w:rFonts w:ascii="仿宋" w:hAnsi="仿宋" w:eastAsia="仿宋" w:cs="Times New Roman"/>
          <w:sz w:val="32"/>
          <w:szCs w:val="32"/>
          <w:highlight w:val="none"/>
          <w:shd w:val="clear" w:color="auto" w:fill="FFFFFF"/>
        </w:rPr>
        <w:t xml:space="preserve"> </w:t>
      </w:r>
      <w:r>
        <w:rPr>
          <w:rFonts w:hint="eastAsia" w:ascii="仿宋" w:hAnsi="仿宋" w:eastAsia="仿宋" w:cs="Times New Roman"/>
          <w:sz w:val="32"/>
          <w:szCs w:val="32"/>
          <w:highlight w:val="none"/>
          <w:shd w:val="clear" w:color="auto" w:fill="FFFFFF"/>
        </w:rPr>
        <w:t>本细则所称制造业单打冠军企业指长期专注于制造业特定细分产品市场，单打产品、服务或技术的市场占有率位居国内或省内前列，生产技术或工艺处于相关领域国内领先水平的企业。</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shd w:val="clear" w:color="auto" w:fill="FFFFFF"/>
        </w:rPr>
      </w:pPr>
      <w:r>
        <w:rPr>
          <w:rFonts w:hint="eastAsia" w:ascii="黑体" w:hAnsi="黑体" w:eastAsia="黑体" w:cs="黑体"/>
          <w:sz w:val="32"/>
          <w:szCs w:val="32"/>
          <w:highlight w:val="none"/>
        </w:rPr>
        <w:t>第三条</w:t>
      </w:r>
      <w:r>
        <w:rPr>
          <w:rFonts w:ascii="仿宋" w:hAnsi="仿宋" w:eastAsia="仿宋" w:cs="Times New Roman"/>
          <w:sz w:val="32"/>
          <w:szCs w:val="32"/>
          <w:highlight w:val="none"/>
          <w:shd w:val="clear" w:color="auto" w:fill="FFFFFF"/>
        </w:rPr>
        <w:t xml:space="preserve"> </w:t>
      </w:r>
      <w:r>
        <w:rPr>
          <w:rFonts w:hint="eastAsia" w:ascii="仿宋" w:hAnsi="仿宋" w:eastAsia="仿宋" w:cs="Times New Roman"/>
          <w:sz w:val="32"/>
          <w:szCs w:val="32"/>
          <w:highlight w:val="none"/>
          <w:shd w:val="clear" w:color="auto" w:fill="FFFFFF"/>
        </w:rPr>
        <w:t>佛山高新区制造业单打冠军企业</w:t>
      </w:r>
      <w:r>
        <w:rPr>
          <w:rFonts w:hint="eastAsia" w:ascii="仿宋" w:hAnsi="仿宋" w:eastAsia="仿宋"/>
          <w:sz w:val="32"/>
          <w:szCs w:val="32"/>
          <w:highlight w:val="none"/>
          <w:shd w:val="clear" w:color="auto" w:fill="FFFFFF"/>
        </w:rPr>
        <w:t>培育库入库企业培育期为</w:t>
      </w:r>
      <w:r>
        <w:rPr>
          <w:rFonts w:ascii="仿宋" w:hAnsi="仿宋" w:eastAsia="仿宋" w:cs="Times New Roman"/>
          <w:sz w:val="32"/>
          <w:szCs w:val="32"/>
          <w:highlight w:val="none"/>
          <w:shd w:val="clear" w:color="auto" w:fill="FFFFFF"/>
        </w:rPr>
        <w:t>3</w:t>
      </w:r>
      <w:r>
        <w:rPr>
          <w:rFonts w:hint="eastAsia" w:ascii="仿宋" w:hAnsi="仿宋" w:eastAsia="仿宋"/>
          <w:sz w:val="32"/>
          <w:szCs w:val="32"/>
          <w:highlight w:val="none"/>
          <w:shd w:val="clear" w:color="auto" w:fill="FFFFFF"/>
        </w:rPr>
        <w:t>年，到期后企业可再次申请。佛山高新区</w:t>
      </w:r>
      <w:r>
        <w:rPr>
          <w:rFonts w:hint="eastAsia" w:ascii="仿宋" w:hAnsi="仿宋" w:eastAsia="仿宋" w:cs="Times New Roman"/>
          <w:sz w:val="32"/>
          <w:szCs w:val="32"/>
          <w:highlight w:val="none"/>
          <w:shd w:val="clear" w:color="auto" w:fill="FFFFFF"/>
        </w:rPr>
        <w:t>制造业单打冠军企业</w:t>
      </w:r>
      <w:r>
        <w:rPr>
          <w:rFonts w:hint="eastAsia" w:ascii="仿宋" w:hAnsi="仿宋" w:eastAsia="仿宋"/>
          <w:sz w:val="32"/>
          <w:szCs w:val="32"/>
          <w:highlight w:val="none"/>
          <w:shd w:val="clear" w:color="auto" w:fill="FFFFFF"/>
        </w:rPr>
        <w:t>培育库实行动态管理，每年进行企业动态评估，未通过年度动态评估的企业不可享受本细则规定的当年度政策扶持。</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shd w:val="clear" w:color="auto" w:fill="FFFFFF"/>
        </w:rPr>
      </w:pPr>
      <w:r>
        <w:rPr>
          <w:rFonts w:hint="eastAsia" w:ascii="黑体" w:hAnsi="黑体" w:eastAsia="黑体" w:cs="黑体"/>
          <w:sz w:val="32"/>
          <w:szCs w:val="32"/>
          <w:highlight w:val="none"/>
        </w:rPr>
        <w:t>第四条</w:t>
      </w:r>
      <w:r>
        <w:rPr>
          <w:rFonts w:ascii="仿宋" w:hAnsi="仿宋" w:eastAsia="仿宋" w:cs="Times New Roman"/>
          <w:sz w:val="32"/>
          <w:szCs w:val="32"/>
          <w:highlight w:val="none"/>
          <w:shd w:val="clear" w:color="auto" w:fill="FFFFFF"/>
        </w:rPr>
        <w:t xml:space="preserve"> </w:t>
      </w:r>
      <w:r>
        <w:rPr>
          <w:rFonts w:hint="eastAsia" w:ascii="仿宋" w:hAnsi="仿宋" w:eastAsia="仿宋" w:cs="Times New Roman"/>
          <w:sz w:val="32"/>
          <w:szCs w:val="32"/>
          <w:highlight w:val="none"/>
          <w:shd w:val="clear" w:color="auto" w:fill="FFFFFF"/>
        </w:rPr>
        <w:t>佛山高新区管委会在佛山高新区经济发展专项资金中安排一定财政资金用于支持制造业单打冠军企业认定，年度支持一批企业认定为制造业单打冠军企业，引导企业加强自主技术创新，打造以质量为核心的企业文化和工匠精神，推进佛山高新区制造业高质量发展。</w:t>
      </w:r>
    </w:p>
    <w:p>
      <w:pPr>
        <w:keepNext w:val="0"/>
        <w:keepLines w:val="0"/>
        <w:pageBreakBefore w:val="0"/>
        <w:kinsoku/>
        <w:wordWrap/>
        <w:overflowPunct/>
        <w:topLinePunct w:val="0"/>
        <w:autoSpaceDN/>
        <w:bidi w:val="0"/>
        <w:adjustRightInd/>
        <w:snapToGrid/>
        <w:spacing w:line="560" w:lineRule="exact"/>
        <w:jc w:val="center"/>
        <w:textAlignment w:val="auto"/>
        <w:rPr>
          <w:rFonts w:ascii="黑体" w:hAnsi="黑体" w:eastAsia="黑体" w:cs="黑体"/>
          <w:sz w:val="32"/>
          <w:szCs w:val="32"/>
          <w:highlight w:val="none"/>
        </w:rPr>
      </w:pPr>
    </w:p>
    <w:p>
      <w:pPr>
        <w:keepNext w:val="0"/>
        <w:keepLines w:val="0"/>
        <w:pageBreakBefore w:val="0"/>
        <w:kinsoku/>
        <w:wordWrap/>
        <w:overflowPunct/>
        <w:topLinePunct w:val="0"/>
        <w:autoSpaceDN/>
        <w:bidi w:val="0"/>
        <w:adjustRightInd/>
        <w:snapToGrid/>
        <w:spacing w:line="560" w:lineRule="exact"/>
        <w:jc w:val="center"/>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第二章</w:t>
      </w:r>
      <w:r>
        <w:rPr>
          <w:rFonts w:ascii="黑体" w:hAnsi="黑体" w:eastAsia="黑体" w:cs="黑体"/>
          <w:sz w:val="32"/>
          <w:szCs w:val="32"/>
          <w:highlight w:val="none"/>
        </w:rPr>
        <w:t xml:space="preserve"> </w:t>
      </w:r>
      <w:r>
        <w:rPr>
          <w:rFonts w:hint="eastAsia" w:ascii="黑体" w:hAnsi="黑体" w:eastAsia="黑体" w:cs="黑体"/>
          <w:sz w:val="32"/>
          <w:szCs w:val="32"/>
          <w:highlight w:val="none"/>
        </w:rPr>
        <w:t>职责分工</w:t>
      </w:r>
    </w:p>
    <w:p>
      <w:pPr>
        <w:keepNext w:val="0"/>
        <w:keepLines w:val="0"/>
        <w:pageBreakBefore w:val="0"/>
        <w:kinsoku/>
        <w:wordWrap/>
        <w:overflowPunct/>
        <w:topLinePunct w:val="0"/>
        <w:autoSpaceDN/>
        <w:bidi w:val="0"/>
        <w:adjustRightInd/>
        <w:snapToGrid/>
        <w:spacing w:line="560" w:lineRule="exact"/>
        <w:jc w:val="center"/>
        <w:textAlignment w:val="auto"/>
        <w:rPr>
          <w:rFonts w:ascii="黑体" w:hAnsi="黑体" w:eastAsia="黑体" w:cs="黑体"/>
          <w:sz w:val="32"/>
          <w:szCs w:val="32"/>
          <w:highlight w:val="none"/>
        </w:rPr>
      </w:pP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rPr>
      </w:pPr>
      <w:r>
        <w:rPr>
          <w:rFonts w:hint="eastAsia" w:ascii="黑体" w:hAnsi="黑体" w:eastAsia="黑体" w:cs="黑体"/>
          <w:sz w:val="32"/>
          <w:szCs w:val="32"/>
          <w:highlight w:val="none"/>
        </w:rPr>
        <w:t>第五条</w:t>
      </w:r>
      <w:r>
        <w:rPr>
          <w:rFonts w:ascii="仿宋" w:hAnsi="仿宋" w:eastAsia="仿宋" w:cs="Times New Roman"/>
          <w:sz w:val="32"/>
          <w:szCs w:val="32"/>
          <w:highlight w:val="none"/>
        </w:rPr>
        <w:t xml:space="preserve"> </w:t>
      </w:r>
      <w:r>
        <w:rPr>
          <w:rFonts w:hint="eastAsia" w:ascii="仿宋" w:hAnsi="仿宋" w:eastAsia="仿宋" w:cs="Times New Roman"/>
          <w:sz w:val="32"/>
          <w:szCs w:val="32"/>
          <w:highlight w:val="none"/>
        </w:rPr>
        <w:t>佛山高新区管委会科技创新局（知识产权局）（以下简称科技创新局）的主要职责是：编制</w:t>
      </w:r>
      <w:r>
        <w:rPr>
          <w:rFonts w:hint="eastAsia" w:ascii="仿宋" w:hAnsi="仿宋" w:eastAsia="仿宋" w:cs="Times New Roman"/>
          <w:sz w:val="32"/>
          <w:szCs w:val="32"/>
          <w:highlight w:val="none"/>
          <w:shd w:val="clear" w:color="auto" w:fill="FFFFFF"/>
        </w:rPr>
        <w:t>制造业单打冠军企业</w:t>
      </w:r>
      <w:r>
        <w:rPr>
          <w:rFonts w:hint="eastAsia" w:ascii="仿宋" w:hAnsi="仿宋" w:eastAsia="仿宋" w:cs="Times New Roman"/>
          <w:sz w:val="32"/>
          <w:szCs w:val="32"/>
          <w:highlight w:val="none"/>
        </w:rPr>
        <w:t>的认定及资助实施细则；</w:t>
      </w:r>
      <w:r>
        <w:rPr>
          <w:rFonts w:hint="eastAsia" w:ascii="仿宋" w:hAnsi="仿宋" w:eastAsia="仿宋"/>
          <w:sz w:val="32"/>
          <w:szCs w:val="32"/>
          <w:highlight w:val="none"/>
        </w:rPr>
        <w:t>编制申报指南和通知，组织开展项目申报、审核、立项、结题等工作；组织开展绩效评价；负责项目监督与管理，做</w:t>
      </w:r>
      <w:r>
        <w:rPr>
          <w:rFonts w:hint="eastAsia" w:ascii="仿宋" w:hAnsi="仿宋" w:eastAsia="仿宋"/>
          <w:sz w:val="32"/>
          <w:szCs w:val="32"/>
          <w:highlight w:val="none"/>
          <w:lang w:bidi="ar"/>
        </w:rPr>
        <w:t>好</w:t>
      </w:r>
      <w:r>
        <w:rPr>
          <w:rFonts w:hint="eastAsia" w:ascii="仿宋" w:hAnsi="仿宋" w:eastAsia="仿宋"/>
          <w:sz w:val="32"/>
          <w:szCs w:val="32"/>
          <w:highlight w:val="none"/>
        </w:rPr>
        <w:t>佛山高新区各园管理局</w:t>
      </w:r>
      <w:r>
        <w:rPr>
          <w:rFonts w:hint="eastAsia" w:ascii="仿宋" w:hAnsi="仿宋" w:eastAsia="仿宋"/>
          <w:sz w:val="32"/>
          <w:szCs w:val="32"/>
          <w:highlight w:val="none"/>
          <w:lang w:bidi="ar"/>
        </w:rPr>
        <w:t>的指导与监督工作；</w:t>
      </w:r>
      <w:r>
        <w:rPr>
          <w:rFonts w:hint="eastAsia" w:ascii="仿宋" w:hAnsi="仿宋" w:eastAsia="仿宋"/>
          <w:sz w:val="32"/>
          <w:szCs w:val="32"/>
          <w:highlight w:val="none"/>
        </w:rPr>
        <w:t>接受佛山高新区纪检监察工作委员会、佛山高新区管委会规划和财政局（以下简称规划和财政局）等的监督。</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rPr>
      </w:pPr>
      <w:r>
        <w:rPr>
          <w:rFonts w:hint="eastAsia" w:ascii="黑体" w:hAnsi="黑体" w:eastAsia="黑体" w:cs="黑体"/>
          <w:sz w:val="32"/>
          <w:szCs w:val="32"/>
          <w:highlight w:val="none"/>
        </w:rPr>
        <w:t>第六条</w:t>
      </w:r>
      <w:r>
        <w:rPr>
          <w:rFonts w:ascii="仿宋" w:hAnsi="仿宋" w:eastAsia="仿宋" w:cs="Times New Roman"/>
          <w:sz w:val="32"/>
          <w:szCs w:val="32"/>
          <w:highlight w:val="none"/>
        </w:rPr>
        <w:t xml:space="preserve"> </w:t>
      </w:r>
      <w:r>
        <w:rPr>
          <w:rFonts w:hint="eastAsia" w:ascii="仿宋" w:hAnsi="仿宋" w:eastAsia="仿宋"/>
          <w:sz w:val="32"/>
          <w:szCs w:val="32"/>
          <w:highlight w:val="none"/>
        </w:rPr>
        <w:t>规划和财政局的主要职责是：按规定拨付资金；监督专项资金使用。</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sz w:val="32"/>
          <w:szCs w:val="32"/>
          <w:highlight w:val="none"/>
        </w:rPr>
      </w:pPr>
      <w:r>
        <w:rPr>
          <w:rFonts w:hint="eastAsia" w:ascii="黑体" w:hAnsi="黑体" w:eastAsia="黑体" w:cs="黑体"/>
          <w:sz w:val="32"/>
          <w:szCs w:val="32"/>
          <w:highlight w:val="none"/>
        </w:rPr>
        <w:t>第七条</w:t>
      </w:r>
      <w:r>
        <w:rPr>
          <w:rFonts w:ascii="仿宋" w:hAnsi="仿宋" w:eastAsia="仿宋" w:cs="Times New Roman"/>
          <w:sz w:val="32"/>
          <w:szCs w:val="32"/>
          <w:highlight w:val="none"/>
        </w:rPr>
        <w:t xml:space="preserve"> </w:t>
      </w:r>
      <w:r>
        <w:rPr>
          <w:rFonts w:hint="eastAsia" w:ascii="仿宋" w:hAnsi="仿宋" w:eastAsia="仿宋"/>
          <w:sz w:val="32"/>
          <w:szCs w:val="32"/>
          <w:highlight w:val="none"/>
        </w:rPr>
        <w:t>佛山高新区各园管理局（以下简称各园管理局）的主要职责是：协助开展项目申报、审核及资金拨付等工作；按评审结果及各园政策兑现安排给予项目资金配套支持；对</w:t>
      </w:r>
      <w:r>
        <w:rPr>
          <w:rFonts w:hint="eastAsia" w:ascii="仿宋" w:hAnsi="仿宋" w:eastAsia="仿宋"/>
          <w:sz w:val="32"/>
          <w:szCs w:val="32"/>
          <w:highlight w:val="none"/>
          <w:lang w:bidi="ar"/>
        </w:rPr>
        <w:t>辖区内项目承担单位资金的使用进行指导与监督，</w:t>
      </w:r>
      <w:r>
        <w:rPr>
          <w:rFonts w:hint="eastAsia" w:ascii="仿宋" w:hAnsi="仿宋" w:eastAsia="仿宋"/>
          <w:sz w:val="32"/>
          <w:szCs w:val="32"/>
          <w:highlight w:val="none"/>
        </w:rPr>
        <w:t>及时反映和纠正资助资金使用过程中存在的问题</w:t>
      </w:r>
      <w:r>
        <w:rPr>
          <w:rFonts w:hint="eastAsia" w:ascii="仿宋" w:hAnsi="仿宋" w:eastAsia="仿宋"/>
          <w:sz w:val="32"/>
          <w:szCs w:val="32"/>
          <w:highlight w:val="none"/>
          <w:lang w:bidi="ar"/>
        </w:rPr>
        <w:t>；</w:t>
      </w:r>
      <w:r>
        <w:rPr>
          <w:rFonts w:hint="eastAsia" w:ascii="仿宋" w:hAnsi="仿宋" w:eastAsia="仿宋"/>
          <w:sz w:val="32"/>
          <w:szCs w:val="32"/>
          <w:highlight w:val="none"/>
        </w:rPr>
        <w:t>接受</w:t>
      </w:r>
      <w:r>
        <w:rPr>
          <w:rFonts w:hint="eastAsia" w:ascii="仿宋" w:hAnsi="仿宋" w:eastAsia="仿宋" w:cs="Times New Roman"/>
          <w:sz w:val="32"/>
          <w:szCs w:val="32"/>
          <w:highlight w:val="none"/>
        </w:rPr>
        <w:t>科技创新局</w:t>
      </w:r>
      <w:r>
        <w:rPr>
          <w:rFonts w:hint="eastAsia" w:ascii="仿宋" w:hAnsi="仿宋" w:eastAsia="仿宋"/>
          <w:sz w:val="32"/>
          <w:szCs w:val="32"/>
          <w:highlight w:val="none"/>
        </w:rPr>
        <w:t>业务指导和监督。</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rPr>
      </w:pPr>
    </w:p>
    <w:p>
      <w:pPr>
        <w:keepNext w:val="0"/>
        <w:keepLines w:val="0"/>
        <w:pageBreakBefore w:val="0"/>
        <w:kinsoku/>
        <w:wordWrap/>
        <w:overflowPunct/>
        <w:topLinePunct w:val="0"/>
        <w:autoSpaceDN/>
        <w:bidi w:val="0"/>
        <w:adjustRightInd/>
        <w:snapToGrid/>
        <w:spacing w:line="560" w:lineRule="exact"/>
        <w:jc w:val="center"/>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第三章</w:t>
      </w:r>
      <w:r>
        <w:rPr>
          <w:rFonts w:ascii="黑体" w:hAnsi="黑体" w:eastAsia="黑体" w:cs="黑体"/>
          <w:sz w:val="32"/>
          <w:szCs w:val="32"/>
          <w:highlight w:val="none"/>
        </w:rPr>
        <w:t xml:space="preserve"> </w:t>
      </w:r>
      <w:r>
        <w:rPr>
          <w:rFonts w:hint="eastAsia" w:ascii="黑体" w:hAnsi="黑体" w:eastAsia="黑体" w:cs="黑体"/>
          <w:sz w:val="32"/>
          <w:szCs w:val="32"/>
          <w:highlight w:val="none"/>
        </w:rPr>
        <w:t>认定条件</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rPr>
      </w:pPr>
      <w:r>
        <w:rPr>
          <w:rFonts w:hint="eastAsia" w:ascii="黑体" w:hAnsi="黑体" w:eastAsia="黑体" w:cs="黑体"/>
          <w:sz w:val="32"/>
          <w:szCs w:val="32"/>
          <w:highlight w:val="none"/>
        </w:rPr>
        <w:t>第八条</w:t>
      </w:r>
      <w:r>
        <w:rPr>
          <w:rFonts w:ascii="仿宋" w:hAnsi="仿宋" w:eastAsia="仿宋" w:cs="Times New Roman"/>
          <w:sz w:val="32"/>
          <w:szCs w:val="32"/>
          <w:highlight w:val="none"/>
        </w:rPr>
        <w:t xml:space="preserve"> </w:t>
      </w:r>
      <w:r>
        <w:rPr>
          <w:rFonts w:hint="eastAsia" w:ascii="仿宋" w:hAnsi="仿宋" w:eastAsia="仿宋" w:cs="Times New Roman"/>
          <w:sz w:val="32"/>
          <w:szCs w:val="32"/>
          <w:highlight w:val="none"/>
        </w:rPr>
        <w:t>申报</w:t>
      </w:r>
      <w:r>
        <w:rPr>
          <w:rFonts w:ascii="仿宋" w:hAnsi="仿宋" w:eastAsia="仿宋" w:cs="Times New Roman"/>
          <w:sz w:val="32"/>
          <w:szCs w:val="32"/>
          <w:highlight w:val="none"/>
        </w:rPr>
        <w:t>“</w:t>
      </w:r>
      <w:r>
        <w:rPr>
          <w:rFonts w:hint="eastAsia" w:ascii="仿宋" w:hAnsi="仿宋" w:eastAsia="仿宋" w:cs="Times New Roman"/>
          <w:sz w:val="32"/>
          <w:szCs w:val="32"/>
          <w:highlight w:val="none"/>
        </w:rPr>
        <w:t>制造业单打冠军企业</w:t>
      </w:r>
      <w:r>
        <w:rPr>
          <w:rFonts w:ascii="仿宋" w:hAnsi="仿宋" w:eastAsia="仿宋" w:cs="Times New Roman"/>
          <w:sz w:val="32"/>
          <w:szCs w:val="32"/>
          <w:highlight w:val="none"/>
        </w:rPr>
        <w:t>”</w:t>
      </w:r>
      <w:r>
        <w:rPr>
          <w:rFonts w:hint="eastAsia" w:ascii="仿宋" w:hAnsi="仿宋" w:eastAsia="仿宋" w:cs="Times New Roman"/>
          <w:sz w:val="32"/>
          <w:szCs w:val="32"/>
          <w:highlight w:val="none"/>
        </w:rPr>
        <w:t>的企业须满足以下条件：</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ascii="仿宋" w:hAnsi="仿宋" w:eastAsia="仿宋" w:cs="Times New Roman"/>
          <w:sz w:val="32"/>
          <w:szCs w:val="32"/>
          <w:highlight w:val="none"/>
        </w:rPr>
      </w:pPr>
      <w:r>
        <w:rPr>
          <w:rFonts w:hint="eastAsia" w:ascii="楷体" w:hAnsi="楷体" w:eastAsia="楷体" w:cs="Times New Roman"/>
          <w:b/>
          <w:bCs/>
          <w:sz w:val="32"/>
          <w:szCs w:val="32"/>
          <w:highlight w:val="none"/>
        </w:rPr>
        <w:t>（一）</w:t>
      </w:r>
      <w:r>
        <w:rPr>
          <w:rFonts w:hint="eastAsia" w:ascii="仿宋" w:hAnsi="仿宋" w:eastAsia="仿宋" w:cs="Times New Roman"/>
          <w:sz w:val="32"/>
          <w:szCs w:val="32"/>
          <w:highlight w:val="none"/>
        </w:rPr>
        <w:t>在佛山高新区范围内依法设立并具有独立法人资格或纳入火炬统计的企业，信用记录良好。</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ascii="仿宋" w:hAnsi="仿宋" w:eastAsia="仿宋" w:cs="Times New Roman"/>
          <w:sz w:val="32"/>
          <w:szCs w:val="32"/>
          <w:highlight w:val="none"/>
        </w:rPr>
      </w:pPr>
      <w:r>
        <w:rPr>
          <w:rFonts w:hint="eastAsia" w:ascii="楷体" w:hAnsi="楷体" w:eastAsia="楷体" w:cs="Times New Roman"/>
          <w:b/>
          <w:bCs/>
          <w:sz w:val="32"/>
          <w:szCs w:val="32"/>
          <w:highlight w:val="none"/>
        </w:rPr>
        <w:t>（二）</w:t>
      </w:r>
      <w:r>
        <w:rPr>
          <w:rFonts w:hint="eastAsia" w:ascii="仿宋" w:hAnsi="仿宋" w:eastAsia="仿宋" w:cs="Times New Roman"/>
          <w:sz w:val="32"/>
          <w:szCs w:val="32"/>
          <w:highlight w:val="none"/>
        </w:rPr>
        <w:t>规模以上工业企业，长期专注于特定细分产品市场，从事相关业务领域时间不少于</w:t>
      </w:r>
      <w:r>
        <w:rPr>
          <w:rFonts w:ascii="仿宋" w:hAnsi="仿宋" w:eastAsia="仿宋" w:cs="Times New Roman"/>
          <w:sz w:val="32"/>
          <w:szCs w:val="32"/>
          <w:highlight w:val="none"/>
        </w:rPr>
        <w:t>3</w:t>
      </w:r>
      <w:r>
        <w:rPr>
          <w:rFonts w:hint="eastAsia" w:ascii="仿宋" w:hAnsi="仿宋" w:eastAsia="仿宋" w:cs="Times New Roman"/>
          <w:sz w:val="32"/>
          <w:szCs w:val="32"/>
          <w:highlight w:val="none"/>
        </w:rPr>
        <w:t>年。</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ascii="仿宋" w:hAnsi="仿宋" w:eastAsia="仿宋" w:cs="Times New Roman"/>
          <w:sz w:val="32"/>
          <w:szCs w:val="32"/>
          <w:highlight w:val="none"/>
        </w:rPr>
      </w:pPr>
      <w:r>
        <w:rPr>
          <w:rFonts w:hint="eastAsia" w:ascii="楷体" w:hAnsi="楷体" w:eastAsia="楷体" w:cs="Times New Roman"/>
          <w:b/>
          <w:bCs/>
          <w:sz w:val="32"/>
          <w:szCs w:val="32"/>
          <w:highlight w:val="none"/>
        </w:rPr>
        <w:t>（三）</w:t>
      </w:r>
      <w:r>
        <w:rPr>
          <w:rFonts w:hint="eastAsia" w:ascii="仿宋" w:hAnsi="仿宋" w:eastAsia="仿宋" w:cs="Times New Roman"/>
          <w:sz w:val="32"/>
          <w:szCs w:val="32"/>
          <w:highlight w:val="none"/>
        </w:rPr>
        <w:t>特定细分产品收入占企业主营业务收入的比重在50%以上。（填报的细分产品分类，原则上参考《统计用产品分类目录》</w:t>
      </w:r>
      <w:r>
        <w:rPr>
          <w:rFonts w:ascii="仿宋" w:hAnsi="仿宋" w:eastAsia="仿宋" w:cs="Times New Roman"/>
          <w:sz w:val="32"/>
          <w:szCs w:val="32"/>
          <w:highlight w:val="none"/>
        </w:rPr>
        <w:t>8</w:t>
      </w:r>
      <w:r>
        <w:rPr>
          <w:rFonts w:hint="eastAsia" w:ascii="仿宋" w:hAnsi="仿宋" w:eastAsia="仿宋" w:cs="Times New Roman"/>
          <w:spacing w:val="-11"/>
          <w:sz w:val="32"/>
          <w:szCs w:val="32"/>
          <w:highlight w:val="none"/>
        </w:rPr>
        <w:t>位或</w:t>
      </w:r>
      <w:r>
        <w:rPr>
          <w:rFonts w:ascii="仿宋" w:hAnsi="仿宋" w:eastAsia="仿宋" w:cs="Times New Roman"/>
          <w:spacing w:val="-11"/>
          <w:sz w:val="32"/>
          <w:szCs w:val="32"/>
          <w:highlight w:val="none"/>
        </w:rPr>
        <w:t>10</w:t>
      </w:r>
      <w:r>
        <w:rPr>
          <w:rFonts w:hint="eastAsia" w:ascii="仿宋" w:hAnsi="仿宋" w:eastAsia="仿宋" w:cs="Times New Roman"/>
          <w:spacing w:val="-11"/>
          <w:sz w:val="32"/>
          <w:szCs w:val="32"/>
          <w:highlight w:val="none"/>
        </w:rPr>
        <w:t>位代码填报，难以准确归入的应符合行业普遍认可的惯例。）</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ascii="仿宋" w:hAnsi="仿宋" w:eastAsia="仿宋" w:cs="Times New Roman"/>
          <w:sz w:val="32"/>
          <w:szCs w:val="32"/>
          <w:highlight w:val="none"/>
        </w:rPr>
      </w:pPr>
      <w:r>
        <w:rPr>
          <w:rFonts w:hint="eastAsia" w:ascii="楷体" w:hAnsi="楷体" w:eastAsia="楷体" w:cs="Times New Roman"/>
          <w:b/>
          <w:bCs/>
          <w:sz w:val="32"/>
          <w:szCs w:val="32"/>
          <w:highlight w:val="none"/>
        </w:rPr>
        <w:t>（四）</w:t>
      </w:r>
      <w:r>
        <w:rPr>
          <w:rFonts w:hint="eastAsia" w:ascii="仿宋" w:hAnsi="仿宋" w:eastAsia="仿宋" w:cs="Times New Roman"/>
          <w:sz w:val="32"/>
          <w:szCs w:val="32"/>
          <w:highlight w:val="none"/>
        </w:rPr>
        <w:t>在国内细分产品市场中拥有较高的市场地位和市场份额或在全球细分产品市场中具有较高的影响力和认知度。（以下两项满足其中之一）</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rPr>
      </w:pPr>
      <w:r>
        <w:rPr>
          <w:rFonts w:ascii="仿宋" w:hAnsi="仿宋" w:eastAsia="仿宋" w:cs="Times New Roman"/>
          <w:sz w:val="32"/>
          <w:szCs w:val="32"/>
          <w:highlight w:val="none"/>
        </w:rPr>
        <w:t>1.</w:t>
      </w:r>
      <w:r>
        <w:rPr>
          <w:rFonts w:hint="eastAsia" w:ascii="仿宋" w:hAnsi="仿宋" w:eastAsia="仿宋" w:cs="Times New Roman"/>
          <w:sz w:val="32"/>
          <w:szCs w:val="32"/>
          <w:highlight w:val="none"/>
        </w:rPr>
        <w:t>特定细分产品市场占有率近三年中任意一年位居全国前</w:t>
      </w:r>
      <w:r>
        <w:rPr>
          <w:rFonts w:ascii="仿宋" w:hAnsi="仿宋" w:eastAsia="仿宋" w:cs="Times New Roman"/>
          <w:sz w:val="32"/>
          <w:szCs w:val="32"/>
          <w:highlight w:val="none"/>
        </w:rPr>
        <w:t>5</w:t>
      </w:r>
      <w:r>
        <w:rPr>
          <w:rFonts w:hint="eastAsia" w:ascii="仿宋" w:hAnsi="仿宋" w:eastAsia="仿宋" w:cs="Times New Roman"/>
          <w:sz w:val="32"/>
          <w:szCs w:val="32"/>
          <w:highlight w:val="none"/>
        </w:rPr>
        <w:t>位；</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rPr>
      </w:pPr>
      <w:r>
        <w:rPr>
          <w:rFonts w:ascii="仿宋" w:hAnsi="仿宋" w:eastAsia="仿宋" w:cs="Times New Roman"/>
          <w:sz w:val="32"/>
          <w:szCs w:val="32"/>
          <w:highlight w:val="none"/>
        </w:rPr>
        <w:t>2.</w:t>
      </w:r>
      <w:r>
        <w:rPr>
          <w:rFonts w:hint="eastAsia" w:ascii="仿宋" w:hAnsi="仿宋" w:eastAsia="仿宋" w:cs="Times New Roman"/>
          <w:sz w:val="32"/>
          <w:szCs w:val="32"/>
          <w:highlight w:val="none"/>
        </w:rPr>
        <w:t>战略性产业重点产品（战略性产业重点产品为《中国制造</w:t>
      </w:r>
      <w:r>
        <w:rPr>
          <w:rFonts w:ascii="仿宋" w:hAnsi="仿宋" w:eastAsia="仿宋" w:cs="Times New Roman"/>
          <w:sz w:val="32"/>
          <w:szCs w:val="32"/>
          <w:highlight w:val="none"/>
        </w:rPr>
        <w:t>2025</w:t>
      </w:r>
      <w:r>
        <w:rPr>
          <w:rFonts w:hint="eastAsia" w:ascii="仿宋" w:hAnsi="仿宋" w:eastAsia="仿宋" w:cs="Times New Roman"/>
          <w:sz w:val="32"/>
          <w:szCs w:val="32"/>
          <w:highlight w:val="none"/>
        </w:rPr>
        <w:t>》重点领域技术路线图内的重点产品，或佛山高新区重点发展的战略性新兴产业的核心产品，以及能有效推动传统产业创新升级的新研发产品）的市场占有率近三年中任意一年位居全省前</w:t>
      </w:r>
      <w:r>
        <w:rPr>
          <w:rFonts w:ascii="仿宋" w:hAnsi="仿宋" w:eastAsia="仿宋" w:cs="Times New Roman"/>
          <w:sz w:val="32"/>
          <w:szCs w:val="32"/>
          <w:highlight w:val="none"/>
        </w:rPr>
        <w:t>3</w:t>
      </w:r>
      <w:r>
        <w:rPr>
          <w:rFonts w:hint="eastAsia" w:ascii="仿宋" w:hAnsi="仿宋" w:eastAsia="仿宋" w:cs="Times New Roman"/>
          <w:sz w:val="32"/>
          <w:szCs w:val="32"/>
          <w:highlight w:val="none"/>
        </w:rPr>
        <w:t>位。</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ascii="仿宋" w:hAnsi="仿宋" w:eastAsia="仿宋" w:cs="Times New Roman"/>
          <w:sz w:val="32"/>
          <w:szCs w:val="32"/>
          <w:highlight w:val="none"/>
        </w:rPr>
      </w:pPr>
      <w:r>
        <w:rPr>
          <w:rFonts w:hint="eastAsia" w:ascii="楷体" w:hAnsi="楷体" w:eastAsia="楷体" w:cs="Times New Roman"/>
          <w:b/>
          <w:bCs/>
          <w:sz w:val="32"/>
          <w:szCs w:val="32"/>
          <w:highlight w:val="none"/>
        </w:rPr>
        <w:t>（五）</w:t>
      </w:r>
      <w:r>
        <w:rPr>
          <w:rFonts w:hint="eastAsia" w:ascii="仿宋" w:hAnsi="仿宋" w:eastAsia="仿宋" w:cs="Times New Roman"/>
          <w:sz w:val="32"/>
          <w:szCs w:val="32"/>
          <w:highlight w:val="none"/>
        </w:rPr>
        <w:t>生产技术、工艺国内领先，产品质量高，关键性能指标处于国内同类产品的领先水平；企业技术创新能力强，拥有自主知识产权，企业上一年度研发投入占营业收入比重不低于</w:t>
      </w:r>
      <w:r>
        <w:rPr>
          <w:rFonts w:ascii="仿宋" w:hAnsi="仿宋" w:eastAsia="仿宋" w:cs="Times New Roman"/>
          <w:sz w:val="32"/>
          <w:szCs w:val="32"/>
          <w:highlight w:val="none"/>
        </w:rPr>
        <w:t>2.5%</w:t>
      </w:r>
      <w:r>
        <w:rPr>
          <w:rFonts w:hint="eastAsia" w:ascii="仿宋" w:hAnsi="仿宋" w:eastAsia="仿宋" w:cs="Times New Roman"/>
          <w:sz w:val="32"/>
          <w:szCs w:val="32"/>
          <w:highlight w:val="none"/>
        </w:rPr>
        <w:t>。</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ascii="仿宋" w:hAnsi="仿宋" w:eastAsia="仿宋" w:cs="Times New Roman"/>
          <w:sz w:val="32"/>
          <w:szCs w:val="32"/>
          <w:highlight w:val="none"/>
        </w:rPr>
      </w:pPr>
      <w:r>
        <w:rPr>
          <w:rFonts w:hint="eastAsia" w:ascii="楷体" w:hAnsi="楷体" w:eastAsia="楷体" w:cs="Times New Roman"/>
          <w:b/>
          <w:bCs/>
          <w:sz w:val="32"/>
          <w:szCs w:val="32"/>
          <w:highlight w:val="none"/>
        </w:rPr>
        <w:t>（六）</w:t>
      </w:r>
      <w:r>
        <w:rPr>
          <w:rFonts w:hint="eastAsia" w:ascii="仿宋" w:hAnsi="仿宋" w:eastAsia="仿宋" w:cs="Times New Roman"/>
          <w:sz w:val="32"/>
          <w:szCs w:val="32"/>
          <w:highlight w:val="none"/>
        </w:rPr>
        <w:t>经营情况良好，近三年主营业务收入、净利润保持增长。企业重视并实施国际化经营战略，市场前景好，有发展成为相关领域国际领先企业的潜力。</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ascii="仿宋" w:hAnsi="仿宋" w:eastAsia="仿宋" w:cs="Times New Roman"/>
          <w:sz w:val="32"/>
          <w:szCs w:val="32"/>
          <w:highlight w:val="none"/>
        </w:rPr>
      </w:pPr>
      <w:r>
        <w:rPr>
          <w:rFonts w:hint="eastAsia" w:ascii="楷体" w:hAnsi="楷体" w:eastAsia="楷体" w:cs="Times New Roman"/>
          <w:b/>
          <w:bCs/>
          <w:sz w:val="32"/>
          <w:szCs w:val="32"/>
          <w:highlight w:val="none"/>
        </w:rPr>
        <w:t>（七）</w:t>
      </w:r>
      <w:r>
        <w:rPr>
          <w:rFonts w:hint="eastAsia" w:ascii="仿宋" w:hAnsi="仿宋" w:eastAsia="仿宋" w:cs="Times New Roman"/>
          <w:sz w:val="32"/>
          <w:szCs w:val="32"/>
          <w:highlight w:val="none"/>
        </w:rPr>
        <w:t>企业近三年未发生由行政执法机关确认的重大违法、违规行为，企业产品能耗达到能耗限额标准先进值。</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ascii="仿宋" w:hAnsi="仿宋" w:eastAsia="仿宋" w:cs="Times New Roman"/>
          <w:sz w:val="32"/>
          <w:szCs w:val="32"/>
          <w:highlight w:val="none"/>
        </w:rPr>
      </w:pPr>
      <w:r>
        <w:rPr>
          <w:rFonts w:hint="eastAsia" w:ascii="楷体" w:hAnsi="楷体" w:eastAsia="楷体" w:cs="Times New Roman"/>
          <w:b/>
          <w:bCs/>
          <w:sz w:val="32"/>
          <w:szCs w:val="32"/>
          <w:highlight w:val="none"/>
        </w:rPr>
        <w:t>（八）</w:t>
      </w:r>
      <w:r>
        <w:rPr>
          <w:rFonts w:hint="eastAsia" w:ascii="仿宋" w:hAnsi="仿宋" w:eastAsia="仿宋" w:cs="Times New Roman"/>
          <w:sz w:val="32"/>
          <w:szCs w:val="32"/>
          <w:highlight w:val="none"/>
        </w:rPr>
        <w:t>具有健全的知识产权、技术标准和质量保证等管理制度。</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shd w:val="clear" w:color="auto" w:fill="FFFFFF"/>
        </w:rPr>
      </w:pPr>
    </w:p>
    <w:p>
      <w:pPr>
        <w:keepNext w:val="0"/>
        <w:keepLines w:val="0"/>
        <w:pageBreakBefore w:val="0"/>
        <w:kinsoku/>
        <w:wordWrap/>
        <w:overflowPunct/>
        <w:topLinePunct w:val="0"/>
        <w:autoSpaceDN/>
        <w:bidi w:val="0"/>
        <w:adjustRightInd/>
        <w:snapToGrid/>
        <w:spacing w:line="560" w:lineRule="exact"/>
        <w:jc w:val="center"/>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第四章</w:t>
      </w:r>
      <w:r>
        <w:rPr>
          <w:rFonts w:ascii="黑体" w:hAnsi="黑体" w:eastAsia="黑体" w:cs="黑体"/>
          <w:sz w:val="32"/>
          <w:szCs w:val="32"/>
          <w:highlight w:val="none"/>
        </w:rPr>
        <w:t xml:space="preserve"> </w:t>
      </w:r>
      <w:r>
        <w:rPr>
          <w:rFonts w:hint="eastAsia" w:ascii="黑体" w:hAnsi="黑体" w:eastAsia="黑体" w:cs="黑体"/>
          <w:sz w:val="32"/>
          <w:szCs w:val="32"/>
          <w:highlight w:val="none"/>
        </w:rPr>
        <w:t>认定程序及资助政策</w:t>
      </w:r>
    </w:p>
    <w:p>
      <w:pPr>
        <w:keepNext w:val="0"/>
        <w:keepLines w:val="0"/>
        <w:pageBreakBefore w:val="0"/>
        <w:kinsoku/>
        <w:wordWrap/>
        <w:overflowPunct/>
        <w:topLinePunct w:val="0"/>
        <w:autoSpaceDN/>
        <w:bidi w:val="0"/>
        <w:adjustRightInd/>
        <w:snapToGrid/>
        <w:spacing w:line="560" w:lineRule="exact"/>
        <w:jc w:val="center"/>
        <w:textAlignment w:val="auto"/>
        <w:rPr>
          <w:rFonts w:ascii="黑体" w:hAnsi="黑体" w:eastAsia="黑体" w:cs="黑体"/>
          <w:sz w:val="32"/>
          <w:szCs w:val="32"/>
          <w:highlight w:val="none"/>
        </w:rPr>
      </w:pP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rPr>
      </w:pPr>
      <w:r>
        <w:rPr>
          <w:rFonts w:hint="eastAsia" w:ascii="黑体" w:hAnsi="黑体" w:eastAsia="黑体" w:cs="黑体"/>
          <w:sz w:val="32"/>
          <w:szCs w:val="32"/>
          <w:highlight w:val="none"/>
        </w:rPr>
        <w:t>第九条</w:t>
      </w:r>
      <w:r>
        <w:rPr>
          <w:rFonts w:ascii="仿宋" w:hAnsi="仿宋" w:eastAsia="仿宋" w:cs="Times New Roman"/>
          <w:sz w:val="32"/>
          <w:szCs w:val="32"/>
          <w:highlight w:val="none"/>
          <w:lang w:bidi="ar"/>
        </w:rPr>
        <w:t xml:space="preserve"> </w:t>
      </w:r>
      <w:r>
        <w:rPr>
          <w:rFonts w:hint="eastAsia" w:ascii="仿宋" w:hAnsi="仿宋" w:eastAsia="仿宋" w:cs="Times New Roman"/>
          <w:sz w:val="32"/>
          <w:szCs w:val="32"/>
          <w:highlight w:val="none"/>
          <w:lang w:bidi="ar"/>
        </w:rPr>
        <w:t>佛山高新区管委会按照</w:t>
      </w:r>
      <w:r>
        <w:rPr>
          <w:rFonts w:ascii="仿宋" w:hAnsi="仿宋" w:eastAsia="仿宋" w:cs="Times New Roman"/>
          <w:sz w:val="32"/>
          <w:szCs w:val="32"/>
          <w:highlight w:val="none"/>
          <w:lang w:bidi="ar"/>
        </w:rPr>
        <w:t>“</w:t>
      </w:r>
      <w:r>
        <w:rPr>
          <w:rFonts w:hint="eastAsia" w:ascii="仿宋" w:hAnsi="仿宋" w:eastAsia="仿宋" w:cs="Times New Roman"/>
          <w:sz w:val="32"/>
          <w:szCs w:val="32"/>
          <w:highlight w:val="none"/>
          <w:lang w:bidi="ar"/>
        </w:rPr>
        <w:t>申报、评审、审议、公示、公布</w:t>
      </w:r>
      <w:r>
        <w:rPr>
          <w:rFonts w:ascii="仿宋" w:hAnsi="仿宋" w:eastAsia="仿宋" w:cs="Times New Roman"/>
          <w:sz w:val="32"/>
          <w:szCs w:val="32"/>
          <w:highlight w:val="none"/>
          <w:lang w:bidi="ar"/>
        </w:rPr>
        <w:t>”</w:t>
      </w:r>
      <w:r>
        <w:rPr>
          <w:rFonts w:hint="eastAsia" w:ascii="仿宋" w:hAnsi="仿宋" w:eastAsia="仿宋" w:cs="Times New Roman"/>
          <w:sz w:val="32"/>
          <w:szCs w:val="32"/>
          <w:highlight w:val="none"/>
          <w:lang w:bidi="ar"/>
        </w:rPr>
        <w:t>流程，开展制造业单打冠军企业认定工作。</w:t>
      </w:r>
    </w:p>
    <w:p>
      <w:pPr>
        <w:keepNext w:val="0"/>
        <w:keepLines w:val="0"/>
        <w:pageBreakBefore w:val="0"/>
        <w:kinsoku/>
        <w:wordWrap/>
        <w:overflowPunct/>
        <w:topLinePunct w:val="0"/>
        <w:autoSpaceDE w:val="0"/>
        <w:autoSpaceDN/>
        <w:bidi w:val="0"/>
        <w:adjustRightInd/>
        <w:snapToGrid/>
        <w:spacing w:line="560" w:lineRule="exact"/>
        <w:ind w:firstLine="643" w:firstLineChars="200"/>
        <w:textAlignment w:val="auto"/>
        <w:rPr>
          <w:rFonts w:ascii="楷体" w:hAnsi="楷体" w:eastAsia="楷体" w:cs="Times New Roman"/>
          <w:b/>
          <w:bCs/>
          <w:sz w:val="32"/>
          <w:szCs w:val="32"/>
          <w:highlight w:val="none"/>
        </w:rPr>
      </w:pPr>
      <w:r>
        <w:rPr>
          <w:rFonts w:hint="eastAsia" w:ascii="楷体" w:hAnsi="楷体" w:eastAsia="楷体" w:cs="Times New Roman"/>
          <w:b/>
          <w:bCs/>
          <w:sz w:val="32"/>
          <w:szCs w:val="32"/>
          <w:highlight w:val="none"/>
        </w:rPr>
        <w:t>（一）申报</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ascii="仿宋" w:hAnsi="仿宋" w:eastAsia="仿宋" w:cs="Times New Roman"/>
          <w:sz w:val="32"/>
          <w:szCs w:val="32"/>
          <w:highlight w:val="none"/>
          <w:lang w:bidi="ar"/>
        </w:rPr>
      </w:pPr>
      <w:r>
        <w:rPr>
          <w:rFonts w:ascii="仿宋" w:hAnsi="仿宋" w:eastAsia="仿宋" w:cs="Times New Roman"/>
          <w:sz w:val="32"/>
          <w:szCs w:val="32"/>
          <w:highlight w:val="none"/>
          <w:lang w:bidi="ar"/>
        </w:rPr>
        <w:t>1.</w:t>
      </w:r>
      <w:r>
        <w:rPr>
          <w:rFonts w:hint="eastAsia" w:ascii="仿宋" w:hAnsi="仿宋" w:eastAsia="仿宋" w:cs="Times New Roman"/>
          <w:sz w:val="32"/>
          <w:szCs w:val="32"/>
          <w:highlight w:val="none"/>
          <w:lang w:bidi="ar"/>
        </w:rPr>
        <w:t>科技创新局编制申报指南及通知，明确项目支持对象、组织形式、申报要求、申报时间、申报流程、材料要求等内容，申报指南和通知在</w:t>
      </w:r>
      <w:r>
        <w:rPr>
          <w:rFonts w:ascii="仿宋" w:hAnsi="仿宋" w:eastAsia="仿宋" w:cs="Times New Roman"/>
          <w:sz w:val="32"/>
          <w:szCs w:val="32"/>
          <w:highlight w:val="none"/>
          <w:lang w:bidi="ar"/>
        </w:rPr>
        <w:t>“</w:t>
      </w:r>
      <w:r>
        <w:rPr>
          <w:rFonts w:hint="eastAsia" w:ascii="仿宋" w:hAnsi="仿宋" w:eastAsia="仿宋" w:cs="Times New Roman"/>
          <w:sz w:val="32"/>
          <w:szCs w:val="32"/>
          <w:highlight w:val="none"/>
          <w:lang w:bidi="ar"/>
        </w:rPr>
        <w:t>佛山扶持通</w:t>
      </w:r>
      <w:r>
        <w:rPr>
          <w:rFonts w:ascii="仿宋" w:hAnsi="仿宋" w:eastAsia="仿宋" w:cs="Times New Roman"/>
          <w:sz w:val="32"/>
          <w:szCs w:val="32"/>
          <w:highlight w:val="none"/>
          <w:lang w:bidi="ar"/>
        </w:rPr>
        <w:t>”</w:t>
      </w:r>
      <w:r>
        <w:rPr>
          <w:rFonts w:hint="eastAsia" w:ascii="仿宋" w:hAnsi="仿宋" w:eastAsia="仿宋" w:cs="Times New Roman"/>
          <w:sz w:val="32"/>
          <w:szCs w:val="32"/>
          <w:highlight w:val="none"/>
          <w:lang w:bidi="ar"/>
        </w:rPr>
        <w:t>进行发布。</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ascii="仿宋" w:hAnsi="仿宋" w:eastAsia="仿宋" w:cs="Times New Roman"/>
          <w:sz w:val="32"/>
          <w:szCs w:val="32"/>
          <w:highlight w:val="none"/>
          <w:lang w:bidi="ar"/>
        </w:rPr>
      </w:pPr>
      <w:r>
        <w:rPr>
          <w:rFonts w:ascii="仿宋" w:hAnsi="仿宋" w:eastAsia="仿宋" w:cs="Times New Roman"/>
          <w:sz w:val="32"/>
          <w:szCs w:val="32"/>
          <w:highlight w:val="none"/>
          <w:lang w:bidi="ar"/>
        </w:rPr>
        <w:t>2.</w:t>
      </w:r>
      <w:r>
        <w:rPr>
          <w:rFonts w:hint="eastAsia" w:ascii="仿宋" w:hAnsi="仿宋" w:eastAsia="仿宋" w:cs="Times New Roman"/>
          <w:sz w:val="32"/>
          <w:szCs w:val="32"/>
          <w:highlight w:val="none"/>
          <w:lang w:bidi="ar"/>
        </w:rPr>
        <w:t>申报单位登陆</w:t>
      </w:r>
      <w:r>
        <w:rPr>
          <w:rFonts w:ascii="仿宋" w:hAnsi="仿宋" w:eastAsia="仿宋" w:cs="Times New Roman"/>
          <w:sz w:val="32"/>
          <w:szCs w:val="32"/>
          <w:highlight w:val="none"/>
          <w:lang w:bidi="ar"/>
        </w:rPr>
        <w:t>“</w:t>
      </w:r>
      <w:r>
        <w:rPr>
          <w:rFonts w:hint="eastAsia" w:ascii="仿宋" w:hAnsi="仿宋" w:eastAsia="仿宋" w:cs="Times New Roman"/>
          <w:sz w:val="32"/>
          <w:szCs w:val="32"/>
          <w:highlight w:val="none"/>
          <w:lang w:bidi="ar"/>
        </w:rPr>
        <w:t>佛山扶持通</w:t>
      </w:r>
      <w:r>
        <w:rPr>
          <w:rFonts w:ascii="仿宋" w:hAnsi="仿宋" w:eastAsia="仿宋" w:cs="Times New Roman"/>
          <w:sz w:val="32"/>
          <w:szCs w:val="32"/>
          <w:highlight w:val="none"/>
          <w:lang w:bidi="ar"/>
        </w:rPr>
        <w:t>”</w:t>
      </w:r>
      <w:r>
        <w:rPr>
          <w:rFonts w:hint="eastAsia" w:ascii="仿宋" w:hAnsi="仿宋" w:eastAsia="仿宋" w:cs="Times New Roman"/>
          <w:sz w:val="32"/>
          <w:szCs w:val="32"/>
          <w:highlight w:val="none"/>
          <w:lang w:bidi="ar"/>
        </w:rPr>
        <w:t>，按照当年度发布的申报指南及通知要求在线填写申请表，并上传相关申报材料。</w:t>
      </w:r>
      <w:r>
        <w:rPr>
          <w:rFonts w:hint="eastAsia" w:ascii="仿宋" w:hAnsi="仿宋" w:eastAsia="仿宋" w:cs="Times New Roman"/>
          <w:iCs/>
          <w:sz w:val="32"/>
          <w:szCs w:val="32"/>
          <w:highlight w:val="none"/>
          <w:shd w:val="clear" w:color="auto" w:fill="FFFFFF"/>
          <w:lang w:bidi="ar"/>
        </w:rPr>
        <w:t>各园管理局对申报材料进行</w:t>
      </w:r>
      <w:r>
        <w:rPr>
          <w:rFonts w:hint="eastAsia" w:ascii="仿宋" w:hAnsi="仿宋" w:eastAsia="仿宋" w:cs="Times New Roman"/>
          <w:sz w:val="32"/>
          <w:szCs w:val="32"/>
          <w:highlight w:val="none"/>
          <w:lang w:bidi="ar"/>
        </w:rPr>
        <w:t>初审。初审通过后，申报单位按要求提交纸质材料。</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lang w:bidi="ar"/>
        </w:rPr>
      </w:pPr>
      <w:r>
        <w:rPr>
          <w:rFonts w:ascii="仿宋" w:hAnsi="仿宋" w:eastAsia="仿宋" w:cs="Times New Roman"/>
          <w:sz w:val="32"/>
          <w:szCs w:val="32"/>
          <w:highlight w:val="none"/>
          <w:lang w:bidi="ar"/>
        </w:rPr>
        <w:t>3.</w:t>
      </w:r>
      <w:r>
        <w:rPr>
          <w:rFonts w:hint="eastAsia" w:ascii="仿宋" w:hAnsi="仿宋" w:eastAsia="仿宋" w:cs="Times New Roman"/>
          <w:sz w:val="32"/>
          <w:szCs w:val="32"/>
          <w:highlight w:val="none"/>
          <w:lang w:bidi="ar"/>
        </w:rPr>
        <w:t>申报材料包括但不限于以下内容：（</w:t>
      </w:r>
      <w:r>
        <w:rPr>
          <w:rFonts w:ascii="仿宋" w:hAnsi="仿宋" w:eastAsia="仿宋" w:cs="Times New Roman"/>
          <w:sz w:val="32"/>
          <w:szCs w:val="32"/>
          <w:highlight w:val="none"/>
          <w:lang w:bidi="ar"/>
        </w:rPr>
        <w:t>1</w:t>
      </w:r>
      <w:r>
        <w:rPr>
          <w:rFonts w:hint="eastAsia" w:ascii="仿宋" w:hAnsi="仿宋" w:eastAsia="仿宋" w:cs="Times New Roman"/>
          <w:sz w:val="32"/>
          <w:szCs w:val="32"/>
          <w:highlight w:val="none"/>
          <w:lang w:bidi="ar"/>
        </w:rPr>
        <w:t>）申报书；（</w:t>
      </w:r>
      <w:r>
        <w:rPr>
          <w:rFonts w:ascii="仿宋" w:hAnsi="仿宋" w:eastAsia="仿宋" w:cs="Times New Roman"/>
          <w:sz w:val="32"/>
          <w:szCs w:val="32"/>
          <w:highlight w:val="none"/>
          <w:lang w:bidi="ar"/>
        </w:rPr>
        <w:t>2</w:t>
      </w:r>
      <w:r>
        <w:rPr>
          <w:rFonts w:hint="eastAsia" w:ascii="仿宋" w:hAnsi="仿宋" w:eastAsia="仿宋" w:cs="Times New Roman"/>
          <w:sz w:val="32"/>
          <w:szCs w:val="32"/>
          <w:highlight w:val="none"/>
          <w:lang w:bidi="ar"/>
        </w:rPr>
        <w:t>）企业营业执照；（</w:t>
      </w:r>
      <w:r>
        <w:rPr>
          <w:rFonts w:ascii="仿宋" w:hAnsi="仿宋" w:eastAsia="仿宋" w:cs="Times New Roman"/>
          <w:sz w:val="32"/>
          <w:szCs w:val="32"/>
          <w:highlight w:val="none"/>
          <w:lang w:bidi="ar"/>
        </w:rPr>
        <w:t>3</w:t>
      </w:r>
      <w:r>
        <w:rPr>
          <w:rFonts w:hint="eastAsia" w:ascii="仿宋" w:hAnsi="仿宋" w:eastAsia="仿宋" w:cs="Times New Roman"/>
          <w:sz w:val="32"/>
          <w:szCs w:val="32"/>
          <w:highlight w:val="none"/>
          <w:lang w:bidi="ar"/>
        </w:rPr>
        <w:t>）</w:t>
      </w:r>
      <w:r>
        <w:rPr>
          <w:rFonts w:hint="eastAsia" w:ascii="仿宋" w:hAnsi="仿宋" w:eastAsia="仿宋" w:cs="Times New Roman"/>
          <w:sz w:val="32"/>
          <w:szCs w:val="32"/>
          <w:highlight w:val="none"/>
        </w:rPr>
        <w:t>经审计的企业近三年财务审计报告；</w:t>
      </w:r>
      <w:r>
        <w:rPr>
          <w:rFonts w:hint="eastAsia" w:ascii="仿宋" w:hAnsi="仿宋" w:eastAsia="仿宋" w:cs="Times New Roman"/>
          <w:sz w:val="32"/>
          <w:szCs w:val="32"/>
          <w:highlight w:val="none"/>
          <w:lang w:bidi="ar"/>
        </w:rPr>
        <w:t>（</w:t>
      </w:r>
      <w:r>
        <w:rPr>
          <w:rFonts w:ascii="仿宋" w:hAnsi="仿宋" w:eastAsia="仿宋" w:cs="Times New Roman"/>
          <w:sz w:val="32"/>
          <w:szCs w:val="32"/>
          <w:highlight w:val="none"/>
          <w:lang w:bidi="ar"/>
        </w:rPr>
        <w:t>4</w:t>
      </w:r>
      <w:r>
        <w:rPr>
          <w:rFonts w:hint="eastAsia" w:ascii="仿宋" w:hAnsi="仿宋" w:eastAsia="仿宋" w:cs="Times New Roman"/>
          <w:sz w:val="32"/>
          <w:szCs w:val="32"/>
          <w:highlight w:val="none"/>
          <w:lang w:bidi="ar"/>
        </w:rPr>
        <w:t>）佛山高新区单打冠军企业产品市场占有率相关情况佐证材料；（</w:t>
      </w:r>
      <w:r>
        <w:rPr>
          <w:rFonts w:ascii="仿宋" w:hAnsi="仿宋" w:eastAsia="仿宋" w:cs="Times New Roman"/>
          <w:sz w:val="32"/>
          <w:szCs w:val="32"/>
          <w:highlight w:val="none"/>
          <w:lang w:bidi="ar"/>
        </w:rPr>
        <w:t>5</w:t>
      </w:r>
      <w:r>
        <w:rPr>
          <w:rFonts w:hint="eastAsia" w:ascii="仿宋" w:hAnsi="仿宋" w:eastAsia="仿宋" w:cs="Times New Roman"/>
          <w:sz w:val="32"/>
          <w:szCs w:val="32"/>
          <w:highlight w:val="none"/>
          <w:lang w:bidi="ar"/>
        </w:rPr>
        <w:t>）经有资质的第三方服务机构出具的企业上一年度研发费用相关材料；（</w:t>
      </w:r>
      <w:r>
        <w:rPr>
          <w:rFonts w:ascii="仿宋" w:hAnsi="仿宋" w:eastAsia="仿宋" w:cs="Times New Roman"/>
          <w:sz w:val="32"/>
          <w:szCs w:val="32"/>
          <w:highlight w:val="none"/>
          <w:lang w:bidi="ar"/>
        </w:rPr>
        <w:t>6</w:t>
      </w:r>
      <w:r>
        <w:rPr>
          <w:rFonts w:hint="eastAsia" w:ascii="仿宋" w:hAnsi="仿宋" w:eastAsia="仿宋" w:cs="Times New Roman"/>
          <w:sz w:val="32"/>
          <w:szCs w:val="32"/>
          <w:highlight w:val="none"/>
          <w:lang w:bidi="ar"/>
        </w:rPr>
        <w:t>）信息采集表；（</w:t>
      </w:r>
      <w:r>
        <w:rPr>
          <w:rFonts w:ascii="仿宋" w:hAnsi="仿宋" w:eastAsia="仿宋" w:cs="Times New Roman"/>
          <w:sz w:val="32"/>
          <w:szCs w:val="32"/>
          <w:highlight w:val="none"/>
          <w:lang w:bidi="ar"/>
        </w:rPr>
        <w:t>7</w:t>
      </w:r>
      <w:r>
        <w:rPr>
          <w:rFonts w:hint="eastAsia" w:ascii="仿宋" w:hAnsi="仿宋" w:eastAsia="仿宋" w:cs="Times New Roman"/>
          <w:sz w:val="32"/>
          <w:szCs w:val="32"/>
          <w:highlight w:val="none"/>
          <w:lang w:bidi="ar"/>
        </w:rPr>
        <w:t>）申请承诺书；（</w:t>
      </w:r>
      <w:r>
        <w:rPr>
          <w:rFonts w:ascii="仿宋" w:hAnsi="仿宋" w:eastAsia="仿宋" w:cs="Times New Roman"/>
          <w:sz w:val="32"/>
          <w:szCs w:val="32"/>
          <w:highlight w:val="none"/>
          <w:lang w:bidi="ar"/>
        </w:rPr>
        <w:t>8</w:t>
      </w:r>
      <w:r>
        <w:rPr>
          <w:rFonts w:hint="eastAsia" w:ascii="仿宋" w:hAnsi="仿宋" w:eastAsia="仿宋" w:cs="Times New Roman"/>
          <w:sz w:val="32"/>
          <w:szCs w:val="32"/>
          <w:highlight w:val="none"/>
          <w:lang w:bidi="ar"/>
        </w:rPr>
        <w:t>）</w:t>
      </w:r>
      <w:r>
        <w:rPr>
          <w:rFonts w:hint="eastAsia" w:ascii="仿宋" w:hAnsi="仿宋" w:eastAsia="仿宋" w:cs="Times New Roman"/>
          <w:sz w:val="32"/>
          <w:szCs w:val="32"/>
          <w:highlight w:val="none"/>
        </w:rPr>
        <w:t>近三年获得的知识产权、质量认证、质量荣誉、品牌荣誉等相关材料；</w:t>
      </w:r>
      <w:r>
        <w:rPr>
          <w:rFonts w:hint="eastAsia" w:ascii="仿宋" w:hAnsi="仿宋" w:eastAsia="仿宋" w:cs="Times New Roman"/>
          <w:sz w:val="32"/>
          <w:szCs w:val="32"/>
          <w:highlight w:val="none"/>
          <w:lang w:bidi="ar"/>
        </w:rPr>
        <w:t>（</w:t>
      </w:r>
      <w:r>
        <w:rPr>
          <w:rFonts w:ascii="仿宋" w:hAnsi="仿宋" w:eastAsia="仿宋" w:cs="Times New Roman"/>
          <w:sz w:val="32"/>
          <w:szCs w:val="32"/>
          <w:highlight w:val="none"/>
          <w:lang w:bidi="ar"/>
        </w:rPr>
        <w:t>9</w:t>
      </w:r>
      <w:r>
        <w:rPr>
          <w:rFonts w:hint="eastAsia" w:ascii="仿宋" w:hAnsi="仿宋" w:eastAsia="仿宋" w:cs="Times New Roman"/>
          <w:sz w:val="32"/>
          <w:szCs w:val="32"/>
          <w:highlight w:val="none"/>
          <w:lang w:bidi="ar"/>
        </w:rPr>
        <w:t>）企业认为有助于其参评的其他材料。</w:t>
      </w:r>
    </w:p>
    <w:p>
      <w:pPr>
        <w:keepNext w:val="0"/>
        <w:keepLines w:val="0"/>
        <w:pageBreakBefore w:val="0"/>
        <w:kinsoku/>
        <w:wordWrap/>
        <w:overflowPunct/>
        <w:topLinePunct w:val="0"/>
        <w:autoSpaceDE w:val="0"/>
        <w:autoSpaceDN/>
        <w:bidi w:val="0"/>
        <w:adjustRightInd/>
        <w:snapToGrid/>
        <w:spacing w:line="560" w:lineRule="exact"/>
        <w:ind w:firstLine="643" w:firstLineChars="200"/>
        <w:textAlignment w:val="auto"/>
        <w:rPr>
          <w:rFonts w:ascii="楷体" w:hAnsi="楷体" w:eastAsia="楷体" w:cs="Times New Roman"/>
          <w:b/>
          <w:bCs/>
          <w:sz w:val="32"/>
          <w:szCs w:val="32"/>
          <w:highlight w:val="none"/>
        </w:rPr>
      </w:pPr>
      <w:r>
        <w:rPr>
          <w:rFonts w:hint="eastAsia" w:ascii="楷体" w:hAnsi="楷体" w:eastAsia="楷体" w:cs="Times New Roman"/>
          <w:b/>
          <w:bCs/>
          <w:sz w:val="32"/>
          <w:szCs w:val="32"/>
          <w:highlight w:val="none"/>
        </w:rPr>
        <w:t>（二）评审</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lang w:bidi="ar"/>
        </w:rPr>
      </w:pPr>
      <w:r>
        <w:rPr>
          <w:rFonts w:ascii="仿宋" w:hAnsi="仿宋" w:eastAsia="仿宋"/>
          <w:sz w:val="32"/>
          <w:szCs w:val="32"/>
          <w:highlight w:val="none"/>
        </w:rPr>
        <w:t>科技创新局</w:t>
      </w:r>
      <w:r>
        <w:rPr>
          <w:rFonts w:hint="eastAsia" w:ascii="仿宋" w:hAnsi="仿宋" w:eastAsia="仿宋" w:cs="Times New Roman"/>
          <w:sz w:val="32"/>
          <w:szCs w:val="32"/>
          <w:highlight w:val="none"/>
          <w:lang w:bidi="ar"/>
        </w:rPr>
        <w:t>或受托第三方服务机构进行项目评审，经线上和线下书面评审程序后，形成佛山高新区制造业单打冠军企业推荐名单。</w:t>
      </w:r>
    </w:p>
    <w:p>
      <w:pPr>
        <w:keepNext w:val="0"/>
        <w:keepLines w:val="0"/>
        <w:pageBreakBefore w:val="0"/>
        <w:kinsoku/>
        <w:wordWrap/>
        <w:overflowPunct/>
        <w:topLinePunct w:val="0"/>
        <w:autoSpaceDE w:val="0"/>
        <w:autoSpaceDN/>
        <w:bidi w:val="0"/>
        <w:adjustRightInd/>
        <w:snapToGrid/>
        <w:spacing w:line="560" w:lineRule="exact"/>
        <w:ind w:firstLine="643" w:firstLineChars="200"/>
        <w:textAlignment w:val="auto"/>
        <w:rPr>
          <w:rFonts w:ascii="楷体" w:hAnsi="楷体" w:eastAsia="楷体" w:cs="Times New Roman"/>
          <w:b/>
          <w:bCs/>
          <w:sz w:val="32"/>
          <w:szCs w:val="32"/>
          <w:highlight w:val="none"/>
        </w:rPr>
      </w:pPr>
      <w:r>
        <w:rPr>
          <w:rFonts w:hint="eastAsia" w:ascii="楷体" w:hAnsi="楷体" w:eastAsia="楷体" w:cs="Times New Roman"/>
          <w:b/>
          <w:bCs/>
          <w:sz w:val="32"/>
          <w:szCs w:val="32"/>
          <w:highlight w:val="none"/>
        </w:rPr>
        <w:t>（三）审议</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lang w:bidi="ar"/>
        </w:rPr>
      </w:pPr>
      <w:r>
        <w:rPr>
          <w:rFonts w:hint="eastAsia" w:ascii="仿宋" w:hAnsi="仿宋" w:eastAsia="仿宋" w:cs="Times New Roman"/>
          <w:sz w:val="32"/>
          <w:szCs w:val="32"/>
          <w:highlight w:val="none"/>
          <w:lang w:bidi="ar"/>
        </w:rPr>
        <w:t>推荐名单经佛山高新区管委会主任办公会议讨论研究后，形成拟认定名单。</w:t>
      </w:r>
    </w:p>
    <w:p>
      <w:pPr>
        <w:keepNext w:val="0"/>
        <w:keepLines w:val="0"/>
        <w:pageBreakBefore w:val="0"/>
        <w:kinsoku/>
        <w:wordWrap/>
        <w:overflowPunct/>
        <w:topLinePunct w:val="0"/>
        <w:autoSpaceDE w:val="0"/>
        <w:autoSpaceDN/>
        <w:bidi w:val="0"/>
        <w:adjustRightInd/>
        <w:snapToGrid/>
        <w:spacing w:line="560" w:lineRule="exact"/>
        <w:ind w:firstLine="643" w:firstLineChars="200"/>
        <w:textAlignment w:val="auto"/>
        <w:rPr>
          <w:rFonts w:ascii="楷体" w:hAnsi="楷体" w:eastAsia="楷体" w:cs="Times New Roman"/>
          <w:b/>
          <w:bCs/>
          <w:sz w:val="32"/>
          <w:szCs w:val="32"/>
          <w:highlight w:val="none"/>
        </w:rPr>
      </w:pPr>
      <w:r>
        <w:rPr>
          <w:rFonts w:hint="eastAsia" w:ascii="楷体" w:hAnsi="楷体" w:eastAsia="楷体" w:cs="Times New Roman"/>
          <w:b/>
          <w:bCs/>
          <w:sz w:val="32"/>
          <w:szCs w:val="32"/>
          <w:highlight w:val="none"/>
        </w:rPr>
        <w:t>（四）公示</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lang w:bidi="ar"/>
        </w:rPr>
      </w:pPr>
      <w:r>
        <w:rPr>
          <w:rFonts w:ascii="仿宋" w:hAnsi="仿宋" w:eastAsia="仿宋"/>
          <w:sz w:val="32"/>
          <w:szCs w:val="32"/>
          <w:highlight w:val="none"/>
        </w:rPr>
        <w:t>科技创新局</w:t>
      </w:r>
      <w:r>
        <w:rPr>
          <w:rFonts w:hint="eastAsia" w:ascii="仿宋" w:hAnsi="仿宋" w:eastAsia="仿宋" w:cs="Times New Roman"/>
          <w:sz w:val="32"/>
          <w:szCs w:val="32"/>
          <w:highlight w:val="none"/>
          <w:lang w:bidi="ar"/>
        </w:rPr>
        <w:t>将拟认定名单在</w:t>
      </w:r>
      <w:r>
        <w:rPr>
          <w:rFonts w:ascii="仿宋" w:hAnsi="仿宋" w:eastAsia="仿宋" w:cs="Times New Roman"/>
          <w:sz w:val="32"/>
          <w:szCs w:val="32"/>
          <w:highlight w:val="none"/>
          <w:lang w:bidi="ar"/>
        </w:rPr>
        <w:t>“</w:t>
      </w:r>
      <w:r>
        <w:rPr>
          <w:rFonts w:hint="eastAsia" w:ascii="仿宋" w:hAnsi="仿宋" w:eastAsia="仿宋" w:cs="Times New Roman"/>
          <w:sz w:val="32"/>
          <w:szCs w:val="32"/>
          <w:highlight w:val="none"/>
          <w:lang w:bidi="ar"/>
        </w:rPr>
        <w:t>佛山扶持通</w:t>
      </w:r>
      <w:r>
        <w:rPr>
          <w:rFonts w:ascii="仿宋" w:hAnsi="仿宋" w:eastAsia="仿宋" w:cs="Times New Roman"/>
          <w:sz w:val="32"/>
          <w:szCs w:val="32"/>
          <w:highlight w:val="none"/>
          <w:lang w:bidi="ar"/>
        </w:rPr>
        <w:t>”</w:t>
      </w:r>
      <w:r>
        <w:rPr>
          <w:rFonts w:hint="eastAsia" w:ascii="仿宋" w:hAnsi="仿宋" w:eastAsia="仿宋" w:cs="Times New Roman"/>
          <w:sz w:val="32"/>
          <w:szCs w:val="32"/>
          <w:highlight w:val="none"/>
          <w:lang w:bidi="ar"/>
        </w:rPr>
        <w:t>进行公示，公示期为不低于</w:t>
      </w:r>
      <w:r>
        <w:rPr>
          <w:rFonts w:ascii="仿宋" w:hAnsi="仿宋" w:eastAsia="仿宋" w:cs="Times New Roman"/>
          <w:sz w:val="32"/>
          <w:szCs w:val="32"/>
          <w:highlight w:val="none"/>
          <w:lang w:bidi="ar"/>
        </w:rPr>
        <w:t>5</w:t>
      </w:r>
      <w:r>
        <w:rPr>
          <w:rFonts w:hint="eastAsia" w:ascii="仿宋" w:hAnsi="仿宋" w:eastAsia="仿宋" w:cs="Times New Roman"/>
          <w:sz w:val="32"/>
          <w:szCs w:val="32"/>
          <w:highlight w:val="none"/>
          <w:lang w:bidi="ar"/>
        </w:rPr>
        <w:t>个工作日。公示期内接到相关异议的，由各园管理局配合</w:t>
      </w:r>
      <w:r>
        <w:rPr>
          <w:rFonts w:ascii="仿宋" w:hAnsi="仿宋" w:eastAsia="仿宋"/>
          <w:sz w:val="32"/>
          <w:szCs w:val="32"/>
          <w:highlight w:val="none"/>
        </w:rPr>
        <w:t>科技创新局</w:t>
      </w:r>
      <w:r>
        <w:rPr>
          <w:rFonts w:hint="eastAsia" w:ascii="仿宋" w:hAnsi="仿宋" w:eastAsia="仿宋" w:cs="Times New Roman"/>
          <w:sz w:val="32"/>
          <w:szCs w:val="32"/>
          <w:highlight w:val="none"/>
          <w:lang w:bidi="ar"/>
        </w:rPr>
        <w:t>调查核实并提出处理意见，</w:t>
      </w:r>
      <w:r>
        <w:rPr>
          <w:rFonts w:hint="eastAsia" w:ascii="仿宋" w:hAnsi="仿宋" w:eastAsia="仿宋" w:cs="Times New Roman"/>
          <w:sz w:val="32"/>
          <w:szCs w:val="32"/>
          <w:highlight w:val="none"/>
        </w:rPr>
        <w:t>处理意见报佛山高新区管委会主任办公会议审议。</w:t>
      </w:r>
    </w:p>
    <w:p>
      <w:pPr>
        <w:keepNext w:val="0"/>
        <w:keepLines w:val="0"/>
        <w:pageBreakBefore w:val="0"/>
        <w:kinsoku/>
        <w:wordWrap/>
        <w:overflowPunct/>
        <w:topLinePunct w:val="0"/>
        <w:autoSpaceDE w:val="0"/>
        <w:autoSpaceDN/>
        <w:bidi w:val="0"/>
        <w:adjustRightInd/>
        <w:snapToGrid/>
        <w:spacing w:line="560" w:lineRule="exact"/>
        <w:ind w:firstLine="643" w:firstLineChars="200"/>
        <w:textAlignment w:val="auto"/>
        <w:rPr>
          <w:rFonts w:ascii="楷体" w:hAnsi="楷体" w:eastAsia="楷体" w:cs="Times New Roman"/>
          <w:b/>
          <w:bCs/>
          <w:sz w:val="32"/>
          <w:szCs w:val="32"/>
          <w:highlight w:val="none"/>
        </w:rPr>
      </w:pPr>
      <w:r>
        <w:rPr>
          <w:rFonts w:hint="eastAsia" w:ascii="楷体" w:hAnsi="楷体" w:eastAsia="楷体" w:cs="Times New Roman"/>
          <w:b/>
          <w:bCs/>
          <w:sz w:val="32"/>
          <w:szCs w:val="32"/>
          <w:highlight w:val="none"/>
        </w:rPr>
        <w:t>（五）公布</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sz w:val="32"/>
          <w:szCs w:val="32"/>
          <w:highlight w:val="none"/>
          <w:lang w:bidi="ar"/>
        </w:rPr>
      </w:pPr>
      <w:r>
        <w:rPr>
          <w:rFonts w:hint="eastAsia" w:ascii="仿宋" w:hAnsi="仿宋" w:eastAsia="仿宋"/>
          <w:sz w:val="32"/>
          <w:szCs w:val="32"/>
          <w:highlight w:val="none"/>
          <w:lang w:bidi="ar"/>
        </w:rPr>
        <w:t>公示无异议或异议不成立的，认定名单在“佛山扶持通”对外公开发布。</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lang w:bidi="ar"/>
        </w:rPr>
      </w:pPr>
      <w:r>
        <w:rPr>
          <w:rFonts w:hint="eastAsia" w:ascii="黑体" w:hAnsi="黑体" w:eastAsia="黑体" w:cs="黑体"/>
          <w:sz w:val="32"/>
          <w:szCs w:val="32"/>
          <w:highlight w:val="none"/>
        </w:rPr>
        <w:t>第十条</w:t>
      </w:r>
      <w:r>
        <w:rPr>
          <w:rFonts w:ascii="仿宋" w:hAnsi="仿宋" w:eastAsia="仿宋" w:cs="Times New Roman"/>
          <w:sz w:val="32"/>
          <w:szCs w:val="32"/>
          <w:highlight w:val="none"/>
        </w:rPr>
        <w:t xml:space="preserve"> </w:t>
      </w:r>
      <w:r>
        <w:rPr>
          <w:rFonts w:hint="eastAsia" w:ascii="仿宋" w:hAnsi="仿宋" w:eastAsia="仿宋" w:cs="Times New Roman"/>
          <w:sz w:val="32"/>
          <w:szCs w:val="32"/>
          <w:highlight w:val="none"/>
          <w:lang w:bidi="ar"/>
        </w:rPr>
        <w:t>佛山高新区制造业单打冠军企业扶持政策包括以下方面：</w:t>
      </w:r>
    </w:p>
    <w:p>
      <w:pPr>
        <w:keepNext w:val="0"/>
        <w:keepLines w:val="0"/>
        <w:pageBreakBefore w:val="0"/>
        <w:kinsoku/>
        <w:wordWrap/>
        <w:overflowPunct/>
        <w:topLinePunct w:val="0"/>
        <w:autoSpaceDE w:val="0"/>
        <w:autoSpaceDN/>
        <w:bidi w:val="0"/>
        <w:adjustRightInd/>
        <w:snapToGrid/>
        <w:spacing w:line="560" w:lineRule="exact"/>
        <w:ind w:firstLine="643" w:firstLineChars="200"/>
        <w:textAlignment w:val="auto"/>
        <w:rPr>
          <w:rFonts w:ascii="楷体" w:hAnsi="楷体" w:eastAsia="楷体" w:cs="Times New Roman"/>
          <w:b/>
          <w:bCs/>
          <w:sz w:val="32"/>
          <w:szCs w:val="32"/>
          <w:highlight w:val="none"/>
        </w:rPr>
      </w:pPr>
      <w:r>
        <w:rPr>
          <w:rFonts w:hint="eastAsia" w:ascii="楷体" w:hAnsi="楷体" w:eastAsia="楷体" w:cs="Times New Roman"/>
          <w:b/>
          <w:bCs/>
          <w:sz w:val="32"/>
          <w:szCs w:val="32"/>
          <w:highlight w:val="none"/>
        </w:rPr>
        <w:t>（一）首次单打冠军认定奖补</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lang w:bidi="ar"/>
        </w:rPr>
      </w:pPr>
      <w:r>
        <w:rPr>
          <w:rFonts w:hint="eastAsia" w:ascii="仿宋" w:hAnsi="仿宋" w:eastAsia="仿宋" w:cs="Times New Roman"/>
          <w:sz w:val="32"/>
          <w:szCs w:val="32"/>
          <w:highlight w:val="none"/>
          <w:lang w:bidi="ar"/>
        </w:rPr>
        <w:t>对首次获得佛山高新区制造业单打冠军认定的企业，给予</w:t>
      </w:r>
      <w:r>
        <w:rPr>
          <w:rFonts w:ascii="仿宋" w:hAnsi="仿宋" w:eastAsia="仿宋" w:cs="Times New Roman"/>
          <w:sz w:val="32"/>
          <w:szCs w:val="32"/>
          <w:highlight w:val="none"/>
          <w:lang w:bidi="ar"/>
        </w:rPr>
        <w:t>30</w:t>
      </w:r>
      <w:r>
        <w:rPr>
          <w:rFonts w:hint="eastAsia" w:ascii="仿宋" w:hAnsi="仿宋" w:eastAsia="仿宋" w:cs="Times New Roman"/>
          <w:sz w:val="32"/>
          <w:szCs w:val="32"/>
          <w:highlight w:val="none"/>
          <w:lang w:bidi="ar"/>
        </w:rPr>
        <w:t>万元一次性资金奖励。</w:t>
      </w:r>
    </w:p>
    <w:p>
      <w:pPr>
        <w:keepNext w:val="0"/>
        <w:keepLines w:val="0"/>
        <w:pageBreakBefore w:val="0"/>
        <w:kinsoku/>
        <w:wordWrap/>
        <w:overflowPunct/>
        <w:topLinePunct w:val="0"/>
        <w:autoSpaceDE w:val="0"/>
        <w:autoSpaceDN/>
        <w:bidi w:val="0"/>
        <w:adjustRightInd/>
        <w:snapToGrid/>
        <w:spacing w:line="560" w:lineRule="exact"/>
        <w:ind w:firstLine="643" w:firstLineChars="200"/>
        <w:textAlignment w:val="auto"/>
        <w:rPr>
          <w:rFonts w:ascii="楷体" w:hAnsi="楷体" w:eastAsia="楷体" w:cs="Times New Roman"/>
          <w:b/>
          <w:bCs/>
          <w:sz w:val="32"/>
          <w:szCs w:val="32"/>
          <w:highlight w:val="none"/>
        </w:rPr>
      </w:pPr>
      <w:r>
        <w:rPr>
          <w:rFonts w:hint="eastAsia" w:ascii="楷体" w:hAnsi="楷体" w:eastAsia="楷体" w:cs="Times New Roman"/>
          <w:b/>
          <w:bCs/>
          <w:sz w:val="32"/>
          <w:szCs w:val="32"/>
          <w:highlight w:val="none"/>
        </w:rPr>
        <w:t>（二）支持企业引进高级人才</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rPr>
      </w:pPr>
      <w:r>
        <w:rPr>
          <w:rFonts w:hint="eastAsia" w:ascii="仿宋" w:hAnsi="仿宋" w:eastAsia="仿宋" w:cs="Times New Roman"/>
          <w:sz w:val="32"/>
          <w:szCs w:val="32"/>
          <w:highlight w:val="none"/>
        </w:rPr>
        <w:t>对年出口额超过</w:t>
      </w:r>
      <w:r>
        <w:rPr>
          <w:rFonts w:ascii="仿宋" w:hAnsi="仿宋" w:eastAsia="仿宋" w:cs="Times New Roman"/>
          <w:sz w:val="32"/>
          <w:szCs w:val="32"/>
          <w:highlight w:val="none"/>
        </w:rPr>
        <w:t>1000</w:t>
      </w:r>
      <w:r>
        <w:rPr>
          <w:rFonts w:hint="eastAsia" w:ascii="仿宋" w:hAnsi="仿宋" w:eastAsia="仿宋" w:cs="Times New Roman"/>
          <w:sz w:val="32"/>
          <w:szCs w:val="32"/>
          <w:highlight w:val="none"/>
        </w:rPr>
        <w:t>万美元或营业收入超过</w:t>
      </w:r>
      <w:r>
        <w:rPr>
          <w:rFonts w:ascii="仿宋" w:hAnsi="仿宋" w:eastAsia="仿宋" w:cs="Times New Roman"/>
          <w:sz w:val="32"/>
          <w:szCs w:val="32"/>
          <w:highlight w:val="none"/>
        </w:rPr>
        <w:t>1</w:t>
      </w:r>
      <w:r>
        <w:rPr>
          <w:rFonts w:hint="eastAsia" w:ascii="仿宋" w:hAnsi="仿宋" w:eastAsia="仿宋" w:cs="Times New Roman"/>
          <w:sz w:val="32"/>
          <w:szCs w:val="32"/>
          <w:highlight w:val="none"/>
        </w:rPr>
        <w:t>亿元的在库企业，给予企业高级管理人员（董事长、副董事长、总经理、副总经理、财务总监、技术总监、销售总监、董事会秘书、监事会主席及下属子（分）公司总经理、厂长）税前年薪</w:t>
      </w:r>
      <w:r>
        <w:rPr>
          <w:rFonts w:ascii="仿宋" w:hAnsi="仿宋" w:eastAsia="仿宋" w:cs="Times New Roman"/>
          <w:sz w:val="32"/>
          <w:szCs w:val="32"/>
          <w:highlight w:val="none"/>
        </w:rPr>
        <w:t>6%</w:t>
      </w:r>
      <w:r>
        <w:rPr>
          <w:rFonts w:hint="eastAsia" w:ascii="仿宋" w:hAnsi="仿宋" w:eastAsia="仿宋" w:cs="Times New Roman"/>
          <w:sz w:val="32"/>
          <w:szCs w:val="32"/>
          <w:highlight w:val="none"/>
        </w:rPr>
        <w:t>的补贴，单个企业每年补贴不超过</w:t>
      </w:r>
      <w:r>
        <w:rPr>
          <w:rFonts w:ascii="仿宋" w:hAnsi="仿宋" w:eastAsia="仿宋" w:cs="Times New Roman"/>
          <w:sz w:val="32"/>
          <w:szCs w:val="32"/>
          <w:highlight w:val="none"/>
        </w:rPr>
        <w:t>5</w:t>
      </w:r>
      <w:r>
        <w:rPr>
          <w:rFonts w:hint="eastAsia" w:ascii="仿宋" w:hAnsi="仿宋" w:eastAsia="仿宋" w:cs="Times New Roman"/>
          <w:sz w:val="32"/>
          <w:szCs w:val="32"/>
          <w:highlight w:val="none"/>
        </w:rPr>
        <w:t>人，单个企业每年补贴额度最高不超过</w:t>
      </w:r>
      <w:r>
        <w:rPr>
          <w:rFonts w:ascii="仿宋" w:hAnsi="仿宋" w:eastAsia="仿宋" w:cs="Times New Roman"/>
          <w:sz w:val="32"/>
          <w:szCs w:val="32"/>
          <w:highlight w:val="none"/>
        </w:rPr>
        <w:t>30</w:t>
      </w:r>
      <w:r>
        <w:rPr>
          <w:rFonts w:hint="eastAsia" w:ascii="仿宋" w:hAnsi="仿宋" w:eastAsia="仿宋" w:cs="Times New Roman"/>
          <w:sz w:val="32"/>
          <w:szCs w:val="32"/>
          <w:highlight w:val="none"/>
        </w:rPr>
        <w:t>万元。</w:t>
      </w:r>
    </w:p>
    <w:p>
      <w:pPr>
        <w:keepNext w:val="0"/>
        <w:keepLines w:val="0"/>
        <w:pageBreakBefore w:val="0"/>
        <w:kinsoku/>
        <w:wordWrap/>
        <w:overflowPunct/>
        <w:topLinePunct w:val="0"/>
        <w:autoSpaceDE w:val="0"/>
        <w:autoSpaceDN/>
        <w:bidi w:val="0"/>
        <w:adjustRightInd/>
        <w:snapToGrid/>
        <w:spacing w:line="560" w:lineRule="exact"/>
        <w:ind w:firstLine="643" w:firstLineChars="200"/>
        <w:textAlignment w:val="auto"/>
        <w:rPr>
          <w:rFonts w:ascii="楷体" w:hAnsi="楷体" w:eastAsia="楷体" w:cs="Times New Roman"/>
          <w:b/>
          <w:bCs/>
          <w:sz w:val="32"/>
          <w:szCs w:val="32"/>
          <w:highlight w:val="none"/>
        </w:rPr>
      </w:pPr>
      <w:r>
        <w:rPr>
          <w:rFonts w:hint="eastAsia" w:ascii="楷体" w:hAnsi="楷体" w:eastAsia="楷体" w:cs="Times New Roman"/>
          <w:b/>
          <w:bCs/>
          <w:sz w:val="32"/>
          <w:szCs w:val="32"/>
          <w:highlight w:val="none"/>
        </w:rPr>
        <w:t>（三）支持智能制造人才培育</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rPr>
      </w:pPr>
      <w:r>
        <w:rPr>
          <w:rFonts w:hint="eastAsia" w:ascii="仿宋" w:hAnsi="仿宋" w:eastAsia="仿宋" w:cs="Times New Roman"/>
          <w:sz w:val="32"/>
          <w:szCs w:val="32"/>
          <w:highlight w:val="none"/>
        </w:rPr>
        <w:t>对在库企业员工取得高级技师职业资格证的额外给予</w:t>
      </w:r>
      <w:r>
        <w:rPr>
          <w:rFonts w:ascii="仿宋" w:hAnsi="仿宋" w:eastAsia="仿宋" w:cs="Times New Roman"/>
          <w:sz w:val="32"/>
          <w:szCs w:val="32"/>
          <w:highlight w:val="none"/>
        </w:rPr>
        <w:t>3000</w:t>
      </w:r>
      <w:r>
        <w:rPr>
          <w:rFonts w:hint="eastAsia" w:ascii="仿宋" w:hAnsi="仿宋" w:eastAsia="仿宋" w:cs="Times New Roman"/>
          <w:sz w:val="32"/>
          <w:szCs w:val="32"/>
          <w:highlight w:val="none"/>
        </w:rPr>
        <w:t>元</w:t>
      </w:r>
      <w:r>
        <w:rPr>
          <w:rFonts w:ascii="仿宋" w:hAnsi="仿宋" w:eastAsia="仿宋" w:cs="Times New Roman"/>
          <w:sz w:val="32"/>
          <w:szCs w:val="32"/>
          <w:highlight w:val="none"/>
        </w:rPr>
        <w:t>/</w:t>
      </w:r>
      <w:r>
        <w:rPr>
          <w:rFonts w:hint="eastAsia" w:ascii="仿宋" w:hAnsi="仿宋" w:eastAsia="仿宋" w:cs="Times New Roman"/>
          <w:sz w:val="32"/>
          <w:szCs w:val="32"/>
          <w:highlight w:val="none"/>
        </w:rPr>
        <w:t>人奖补。</w:t>
      </w:r>
    </w:p>
    <w:p>
      <w:pPr>
        <w:keepNext w:val="0"/>
        <w:keepLines w:val="0"/>
        <w:pageBreakBefore w:val="0"/>
        <w:kinsoku/>
        <w:wordWrap/>
        <w:overflowPunct/>
        <w:topLinePunct w:val="0"/>
        <w:autoSpaceDE w:val="0"/>
        <w:autoSpaceDN/>
        <w:bidi w:val="0"/>
        <w:adjustRightInd/>
        <w:snapToGrid/>
        <w:spacing w:line="560" w:lineRule="exact"/>
        <w:ind w:firstLine="643" w:firstLineChars="200"/>
        <w:textAlignment w:val="auto"/>
        <w:rPr>
          <w:rFonts w:ascii="楷体" w:hAnsi="楷体" w:eastAsia="楷体" w:cs="Times New Roman"/>
          <w:b/>
          <w:bCs/>
          <w:sz w:val="32"/>
          <w:szCs w:val="32"/>
          <w:highlight w:val="none"/>
        </w:rPr>
      </w:pPr>
      <w:r>
        <w:rPr>
          <w:rFonts w:hint="eastAsia" w:ascii="楷体" w:hAnsi="楷体" w:eastAsia="楷体" w:cs="Times New Roman"/>
          <w:b/>
          <w:bCs/>
          <w:sz w:val="32"/>
          <w:szCs w:val="32"/>
          <w:highlight w:val="none"/>
        </w:rPr>
        <w:t>（四）提升前瞻技术储备力</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rPr>
      </w:pPr>
      <w:r>
        <w:rPr>
          <w:rFonts w:hint="eastAsia" w:ascii="仿宋" w:hAnsi="仿宋" w:eastAsia="仿宋" w:cs="Times New Roman"/>
          <w:sz w:val="32"/>
          <w:szCs w:val="32"/>
          <w:highlight w:val="none"/>
        </w:rPr>
        <w:t>支持单打冠军企业在细分产品领域部署前沿技术和基础研究，</w:t>
      </w:r>
      <w:r>
        <w:rPr>
          <w:rFonts w:hint="eastAsia" w:ascii="仿宋" w:hAnsi="仿宋" w:eastAsia="仿宋" w:cs="Times New Roman"/>
          <w:sz w:val="32"/>
          <w:szCs w:val="32"/>
          <w:highlight w:val="none"/>
          <w:shd w:val="clear" w:color="auto" w:fill="FFFFFF"/>
        </w:rPr>
        <w:t>按在库企业上一年度发生的可加计扣除研发费用总额</w:t>
      </w:r>
      <w:r>
        <w:rPr>
          <w:rFonts w:ascii="仿宋" w:hAnsi="仿宋" w:eastAsia="仿宋" w:cs="Times New Roman"/>
          <w:sz w:val="32"/>
          <w:szCs w:val="32"/>
          <w:highlight w:val="none"/>
        </w:rPr>
        <w:t>10%</w:t>
      </w:r>
      <w:r>
        <w:rPr>
          <w:rFonts w:hint="eastAsia" w:ascii="仿宋" w:hAnsi="仿宋" w:eastAsia="仿宋" w:cs="Times New Roman"/>
          <w:sz w:val="32"/>
          <w:szCs w:val="32"/>
          <w:highlight w:val="none"/>
        </w:rPr>
        <w:t>的比例给予补贴，单个企业每年补贴经费额度最高</w:t>
      </w:r>
      <w:r>
        <w:rPr>
          <w:rFonts w:ascii="仿宋" w:hAnsi="仿宋" w:eastAsia="仿宋" w:cs="Times New Roman"/>
          <w:sz w:val="32"/>
          <w:szCs w:val="32"/>
          <w:highlight w:val="none"/>
        </w:rPr>
        <w:t>50</w:t>
      </w:r>
      <w:r>
        <w:rPr>
          <w:rFonts w:hint="eastAsia" w:ascii="仿宋" w:hAnsi="仿宋" w:eastAsia="仿宋" w:cs="Times New Roman"/>
          <w:sz w:val="32"/>
          <w:szCs w:val="32"/>
          <w:highlight w:val="none"/>
        </w:rPr>
        <w:t>万元。</w:t>
      </w:r>
    </w:p>
    <w:p>
      <w:pPr>
        <w:keepNext w:val="0"/>
        <w:keepLines w:val="0"/>
        <w:pageBreakBefore w:val="0"/>
        <w:kinsoku/>
        <w:wordWrap/>
        <w:overflowPunct/>
        <w:topLinePunct w:val="0"/>
        <w:autoSpaceDE w:val="0"/>
        <w:autoSpaceDN/>
        <w:bidi w:val="0"/>
        <w:adjustRightInd/>
        <w:snapToGrid/>
        <w:spacing w:line="560" w:lineRule="exact"/>
        <w:ind w:firstLine="643" w:firstLineChars="200"/>
        <w:textAlignment w:val="auto"/>
        <w:rPr>
          <w:rFonts w:ascii="楷体" w:hAnsi="楷体" w:eastAsia="楷体" w:cs="Times New Roman"/>
          <w:b/>
          <w:bCs/>
          <w:sz w:val="32"/>
          <w:szCs w:val="32"/>
          <w:highlight w:val="none"/>
        </w:rPr>
      </w:pPr>
      <w:r>
        <w:rPr>
          <w:rFonts w:hint="eastAsia" w:ascii="楷体" w:hAnsi="楷体" w:eastAsia="楷体" w:cs="Times New Roman"/>
          <w:b/>
          <w:bCs/>
          <w:sz w:val="32"/>
          <w:szCs w:val="32"/>
          <w:highlight w:val="none"/>
        </w:rPr>
        <w:t>（五）支持企业提高管理水平</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rPr>
      </w:pPr>
      <w:r>
        <w:rPr>
          <w:rFonts w:hint="eastAsia" w:ascii="仿宋" w:hAnsi="仿宋" w:eastAsia="仿宋" w:cs="Times New Roman"/>
          <w:sz w:val="32"/>
          <w:szCs w:val="32"/>
          <w:highlight w:val="none"/>
        </w:rPr>
        <w:t>支持单打冠军企业实现管理创新、制度创新和文化创新，对在库企业采购的市场化专业服务进行补贴，如采购管理专题培训、战略规划制定、商业模式设计、组织架构优化、岗位绩效提升、信息化建设等服务，补贴金额为在库企业上一年度专业服务费实际支出额的</w:t>
      </w:r>
      <w:r>
        <w:rPr>
          <w:rFonts w:ascii="仿宋" w:hAnsi="仿宋" w:eastAsia="仿宋" w:cs="Times New Roman"/>
          <w:sz w:val="32"/>
          <w:szCs w:val="32"/>
          <w:highlight w:val="none"/>
        </w:rPr>
        <w:t>50%</w:t>
      </w:r>
      <w:r>
        <w:rPr>
          <w:rFonts w:hint="eastAsia" w:ascii="仿宋" w:hAnsi="仿宋" w:eastAsia="仿宋" w:cs="Times New Roman"/>
          <w:sz w:val="32"/>
          <w:szCs w:val="32"/>
          <w:highlight w:val="none"/>
        </w:rPr>
        <w:t>，单个企业每年补贴金额最高不超过</w:t>
      </w:r>
      <w:r>
        <w:rPr>
          <w:rFonts w:ascii="仿宋" w:hAnsi="仿宋" w:eastAsia="仿宋" w:cs="Times New Roman"/>
          <w:sz w:val="32"/>
          <w:szCs w:val="32"/>
          <w:highlight w:val="none"/>
        </w:rPr>
        <w:t>15</w:t>
      </w:r>
      <w:r>
        <w:rPr>
          <w:rFonts w:hint="eastAsia" w:ascii="仿宋" w:hAnsi="仿宋" w:eastAsia="仿宋" w:cs="Times New Roman"/>
          <w:sz w:val="32"/>
          <w:szCs w:val="32"/>
          <w:highlight w:val="none"/>
        </w:rPr>
        <w:t>万元。</w:t>
      </w:r>
    </w:p>
    <w:p>
      <w:pPr>
        <w:keepNext w:val="0"/>
        <w:keepLines w:val="0"/>
        <w:pageBreakBefore w:val="0"/>
        <w:kinsoku/>
        <w:wordWrap/>
        <w:overflowPunct/>
        <w:topLinePunct w:val="0"/>
        <w:autoSpaceDE w:val="0"/>
        <w:autoSpaceDN/>
        <w:bidi w:val="0"/>
        <w:adjustRightInd/>
        <w:snapToGrid/>
        <w:spacing w:line="560" w:lineRule="exact"/>
        <w:ind w:firstLine="643" w:firstLineChars="200"/>
        <w:textAlignment w:val="auto"/>
        <w:rPr>
          <w:rFonts w:ascii="楷体" w:hAnsi="楷体" w:eastAsia="楷体" w:cs="Times New Roman"/>
          <w:b/>
          <w:bCs/>
          <w:sz w:val="32"/>
          <w:szCs w:val="32"/>
          <w:highlight w:val="none"/>
        </w:rPr>
      </w:pPr>
      <w:r>
        <w:rPr>
          <w:rFonts w:hint="eastAsia" w:ascii="楷体" w:hAnsi="楷体" w:eastAsia="楷体" w:cs="Times New Roman"/>
          <w:b/>
          <w:bCs/>
          <w:sz w:val="32"/>
          <w:szCs w:val="32"/>
          <w:highlight w:val="none"/>
        </w:rPr>
        <w:t>（六）鼓励企业并购重组</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rPr>
      </w:pPr>
      <w:r>
        <w:rPr>
          <w:rFonts w:hint="eastAsia" w:ascii="仿宋" w:hAnsi="仿宋" w:eastAsia="仿宋" w:cs="Times New Roman"/>
          <w:sz w:val="32"/>
          <w:szCs w:val="32"/>
          <w:highlight w:val="none"/>
        </w:rPr>
        <w:t>对单打冠军企业在主营业务领域并购重组成功且总部设在佛山高新区范围内的，对并购重组发生的法律、财务、资产评估等中介服务费给予补贴。对境内并购实际发生上述中介服务费用的</w:t>
      </w:r>
      <w:r>
        <w:rPr>
          <w:rFonts w:ascii="仿宋" w:hAnsi="仿宋" w:eastAsia="仿宋" w:cs="Times New Roman"/>
          <w:sz w:val="32"/>
          <w:szCs w:val="32"/>
          <w:highlight w:val="none"/>
        </w:rPr>
        <w:t>50%</w:t>
      </w:r>
      <w:r>
        <w:rPr>
          <w:rFonts w:hint="eastAsia" w:ascii="仿宋" w:hAnsi="仿宋" w:eastAsia="仿宋" w:cs="Times New Roman"/>
          <w:sz w:val="32"/>
          <w:szCs w:val="32"/>
          <w:highlight w:val="none"/>
        </w:rPr>
        <w:t>进行补贴，单个企业每年补贴最高不超过</w:t>
      </w:r>
      <w:r>
        <w:rPr>
          <w:rFonts w:ascii="仿宋" w:hAnsi="仿宋" w:eastAsia="仿宋" w:cs="Times New Roman"/>
          <w:sz w:val="32"/>
          <w:szCs w:val="32"/>
          <w:highlight w:val="none"/>
        </w:rPr>
        <w:t>200</w:t>
      </w:r>
      <w:r>
        <w:rPr>
          <w:rFonts w:hint="eastAsia" w:ascii="仿宋" w:hAnsi="仿宋" w:eastAsia="仿宋" w:cs="Times New Roman"/>
          <w:sz w:val="32"/>
          <w:szCs w:val="32"/>
          <w:highlight w:val="none"/>
        </w:rPr>
        <w:t>万元；对境外（含香港、澳门、台湾）并购实际发生上述中介服务费用的</w:t>
      </w:r>
      <w:r>
        <w:rPr>
          <w:rFonts w:ascii="仿宋" w:hAnsi="仿宋" w:eastAsia="仿宋" w:cs="Times New Roman"/>
          <w:sz w:val="32"/>
          <w:szCs w:val="32"/>
          <w:highlight w:val="none"/>
        </w:rPr>
        <w:t>20%</w:t>
      </w:r>
      <w:r>
        <w:rPr>
          <w:rFonts w:hint="eastAsia" w:ascii="仿宋" w:hAnsi="仿宋" w:eastAsia="仿宋" w:cs="Times New Roman"/>
          <w:sz w:val="32"/>
          <w:szCs w:val="32"/>
          <w:highlight w:val="none"/>
        </w:rPr>
        <w:t>进行补贴，单个企业每年补贴最高不超过</w:t>
      </w:r>
      <w:r>
        <w:rPr>
          <w:rFonts w:ascii="仿宋" w:hAnsi="仿宋" w:eastAsia="仿宋" w:cs="Times New Roman"/>
          <w:sz w:val="32"/>
          <w:szCs w:val="32"/>
          <w:highlight w:val="none"/>
        </w:rPr>
        <w:t>500</w:t>
      </w:r>
      <w:r>
        <w:rPr>
          <w:rFonts w:hint="eastAsia" w:ascii="仿宋" w:hAnsi="仿宋" w:eastAsia="仿宋" w:cs="Times New Roman"/>
          <w:sz w:val="32"/>
          <w:szCs w:val="32"/>
          <w:highlight w:val="none"/>
        </w:rPr>
        <w:t>万元。</w:t>
      </w:r>
    </w:p>
    <w:p>
      <w:pPr>
        <w:keepNext w:val="0"/>
        <w:keepLines w:val="0"/>
        <w:pageBreakBefore w:val="0"/>
        <w:kinsoku/>
        <w:wordWrap/>
        <w:overflowPunct/>
        <w:topLinePunct w:val="0"/>
        <w:autoSpaceDE w:val="0"/>
        <w:autoSpaceDN/>
        <w:bidi w:val="0"/>
        <w:adjustRightInd/>
        <w:snapToGrid/>
        <w:spacing w:line="560" w:lineRule="exact"/>
        <w:ind w:firstLine="643" w:firstLineChars="200"/>
        <w:textAlignment w:val="auto"/>
        <w:rPr>
          <w:rFonts w:ascii="楷体" w:hAnsi="楷体" w:eastAsia="楷体" w:cs="Times New Roman"/>
          <w:b/>
          <w:bCs/>
          <w:sz w:val="32"/>
          <w:szCs w:val="32"/>
          <w:highlight w:val="none"/>
        </w:rPr>
      </w:pPr>
      <w:r>
        <w:rPr>
          <w:rFonts w:hint="eastAsia" w:ascii="楷体" w:hAnsi="楷体" w:eastAsia="楷体" w:cs="Times New Roman"/>
          <w:b/>
          <w:bCs/>
          <w:sz w:val="32"/>
          <w:szCs w:val="32"/>
          <w:highlight w:val="none"/>
        </w:rPr>
        <w:t>（七）开展单打冠军企业与国外知名智能制造企业交流计划</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rPr>
      </w:pPr>
      <w:r>
        <w:rPr>
          <w:rFonts w:hint="eastAsia" w:ascii="仿宋" w:hAnsi="仿宋" w:eastAsia="仿宋" w:cs="Times New Roman"/>
          <w:sz w:val="32"/>
          <w:szCs w:val="32"/>
          <w:highlight w:val="none"/>
        </w:rPr>
        <w:t>每年组织一期单打冠军企业负责人学习班，到国内外知名智能制造企业、智能制造咨询服务机构等学习借鉴先进的经验，在智能制造发展思路、市场资源等方面与知名企业、机构进行充分对接，学习交流活动涉及的培训费、交通费、住宿费等相关费用由高新区承担。</w:t>
      </w:r>
    </w:p>
    <w:p>
      <w:pPr>
        <w:keepNext w:val="0"/>
        <w:keepLines w:val="0"/>
        <w:pageBreakBefore w:val="0"/>
        <w:kinsoku/>
        <w:wordWrap/>
        <w:overflowPunct/>
        <w:topLinePunct w:val="0"/>
        <w:autoSpaceDE w:val="0"/>
        <w:autoSpaceDN/>
        <w:bidi w:val="0"/>
        <w:adjustRightInd/>
        <w:snapToGrid/>
        <w:spacing w:line="560" w:lineRule="exact"/>
        <w:ind w:firstLine="643" w:firstLineChars="200"/>
        <w:textAlignment w:val="auto"/>
        <w:rPr>
          <w:rFonts w:ascii="楷体" w:hAnsi="楷体" w:eastAsia="楷体" w:cs="Times New Roman"/>
          <w:b/>
          <w:bCs/>
          <w:sz w:val="32"/>
          <w:szCs w:val="32"/>
          <w:highlight w:val="none"/>
        </w:rPr>
      </w:pPr>
      <w:r>
        <w:rPr>
          <w:rFonts w:hint="eastAsia" w:ascii="楷体" w:hAnsi="楷体" w:eastAsia="楷体" w:cs="Times New Roman"/>
          <w:b/>
          <w:bCs/>
          <w:sz w:val="32"/>
          <w:szCs w:val="32"/>
          <w:highlight w:val="none"/>
        </w:rPr>
        <w:t>（八）鼓励企业拓宽融资渠道</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shd w:val="clear" w:color="auto" w:fill="FFFFFF"/>
        </w:rPr>
      </w:pPr>
      <w:r>
        <w:rPr>
          <w:rFonts w:hint="eastAsia" w:ascii="仿宋" w:hAnsi="仿宋" w:eastAsia="仿宋" w:cs="Times New Roman"/>
          <w:sz w:val="32"/>
          <w:szCs w:val="32"/>
          <w:highlight w:val="none"/>
          <w:shd w:val="clear" w:color="auto" w:fill="FFFFFF"/>
        </w:rPr>
        <w:t>对在库的</w:t>
      </w:r>
      <w:r>
        <w:rPr>
          <w:rFonts w:hint="eastAsia" w:ascii="仿宋" w:hAnsi="仿宋" w:eastAsia="仿宋" w:cs="Times New Roman"/>
          <w:sz w:val="32"/>
          <w:szCs w:val="32"/>
          <w:highlight w:val="none"/>
        </w:rPr>
        <w:t>单打冠军企业</w:t>
      </w:r>
      <w:r>
        <w:rPr>
          <w:rFonts w:hint="eastAsia" w:ascii="仿宋" w:hAnsi="仿宋" w:eastAsia="仿宋" w:cs="Times New Roman"/>
          <w:sz w:val="32"/>
          <w:szCs w:val="32"/>
          <w:highlight w:val="none"/>
          <w:shd w:val="clear" w:color="auto" w:fill="FFFFFF"/>
        </w:rPr>
        <w:t>予以银行贷款贴息支持，补贴金额为在库企业上一年度支付银行贷款利息总额的</w:t>
      </w:r>
      <w:r>
        <w:rPr>
          <w:rFonts w:ascii="仿宋" w:hAnsi="仿宋" w:eastAsia="仿宋" w:cs="Times New Roman"/>
          <w:sz w:val="32"/>
          <w:szCs w:val="32"/>
          <w:highlight w:val="none"/>
          <w:shd w:val="clear" w:color="auto" w:fill="FFFFFF"/>
        </w:rPr>
        <w:t>30%</w:t>
      </w:r>
      <w:r>
        <w:rPr>
          <w:rFonts w:hint="eastAsia" w:ascii="仿宋" w:hAnsi="仿宋" w:eastAsia="仿宋" w:cs="Times New Roman"/>
          <w:sz w:val="32"/>
          <w:szCs w:val="32"/>
          <w:highlight w:val="none"/>
          <w:shd w:val="clear" w:color="auto" w:fill="FFFFFF"/>
        </w:rPr>
        <w:t>，单个企业每年最高不超过</w:t>
      </w:r>
      <w:r>
        <w:rPr>
          <w:rFonts w:ascii="仿宋" w:hAnsi="仿宋" w:eastAsia="仿宋" w:cs="Times New Roman"/>
          <w:sz w:val="32"/>
          <w:szCs w:val="32"/>
          <w:highlight w:val="none"/>
          <w:shd w:val="clear" w:color="auto" w:fill="FFFFFF"/>
        </w:rPr>
        <w:t>30</w:t>
      </w:r>
      <w:r>
        <w:rPr>
          <w:rFonts w:hint="eastAsia" w:ascii="仿宋" w:hAnsi="仿宋" w:eastAsia="仿宋" w:cs="Times New Roman"/>
          <w:sz w:val="32"/>
          <w:szCs w:val="32"/>
          <w:highlight w:val="none"/>
          <w:shd w:val="clear" w:color="auto" w:fill="FFFFFF"/>
        </w:rPr>
        <w:t>万元。</w:t>
      </w:r>
    </w:p>
    <w:p>
      <w:pPr>
        <w:keepNext w:val="0"/>
        <w:keepLines w:val="0"/>
        <w:pageBreakBefore w:val="0"/>
        <w:kinsoku/>
        <w:wordWrap/>
        <w:overflowPunct/>
        <w:topLinePunct w:val="0"/>
        <w:autoSpaceDE w:val="0"/>
        <w:autoSpaceDN/>
        <w:bidi w:val="0"/>
        <w:adjustRightInd/>
        <w:snapToGrid/>
        <w:spacing w:line="560" w:lineRule="exact"/>
        <w:ind w:firstLine="643" w:firstLineChars="200"/>
        <w:textAlignment w:val="auto"/>
        <w:rPr>
          <w:rFonts w:ascii="楷体" w:hAnsi="楷体" w:eastAsia="楷体" w:cs="Times New Roman"/>
          <w:b/>
          <w:bCs/>
          <w:sz w:val="32"/>
          <w:szCs w:val="32"/>
          <w:highlight w:val="none"/>
        </w:rPr>
      </w:pPr>
      <w:r>
        <w:rPr>
          <w:rFonts w:hint="eastAsia" w:ascii="楷体" w:hAnsi="楷体" w:eastAsia="楷体" w:cs="Times New Roman"/>
          <w:b/>
          <w:bCs/>
          <w:sz w:val="32"/>
          <w:szCs w:val="32"/>
          <w:highlight w:val="none"/>
        </w:rPr>
        <w:t>（九）促进单打冠军企业建立行业交流平台</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ascii="仿宋" w:hAnsi="仿宋" w:eastAsia="仿宋" w:cs="Times New Roman"/>
          <w:sz w:val="32"/>
          <w:szCs w:val="32"/>
          <w:highlight w:val="none"/>
          <w:shd w:val="clear" w:color="auto" w:fill="FFFFFF"/>
        </w:rPr>
      </w:pPr>
      <w:r>
        <w:rPr>
          <w:rFonts w:hint="eastAsia" w:ascii="仿宋" w:hAnsi="仿宋" w:eastAsia="仿宋" w:cs="Times New Roman"/>
          <w:sz w:val="32"/>
          <w:szCs w:val="32"/>
          <w:highlight w:val="none"/>
        </w:rPr>
        <w:t>支持单打冠军企业主办或承办有品牌效应的行业活动，对于国际权威行业组织参与、会议规模不少于</w:t>
      </w:r>
      <w:r>
        <w:rPr>
          <w:rFonts w:ascii="仿宋" w:hAnsi="仿宋" w:eastAsia="仿宋" w:cs="Times New Roman"/>
          <w:sz w:val="32"/>
          <w:szCs w:val="32"/>
          <w:highlight w:val="none"/>
        </w:rPr>
        <w:t>300</w:t>
      </w:r>
      <w:r>
        <w:rPr>
          <w:rFonts w:hint="eastAsia" w:ascii="仿宋" w:hAnsi="仿宋" w:eastAsia="仿宋" w:cs="Times New Roman"/>
          <w:sz w:val="32"/>
          <w:szCs w:val="32"/>
          <w:highlight w:val="none"/>
        </w:rPr>
        <w:t>人的国际性活动，给予活动总费用</w:t>
      </w:r>
      <w:r>
        <w:rPr>
          <w:rFonts w:ascii="仿宋" w:hAnsi="仿宋" w:eastAsia="仿宋" w:cs="Times New Roman"/>
          <w:sz w:val="32"/>
          <w:szCs w:val="32"/>
          <w:highlight w:val="none"/>
        </w:rPr>
        <w:t>50%</w:t>
      </w:r>
      <w:r>
        <w:rPr>
          <w:rFonts w:hint="eastAsia" w:ascii="仿宋" w:hAnsi="仿宋" w:eastAsia="仿宋" w:cs="Times New Roman"/>
          <w:sz w:val="32"/>
          <w:szCs w:val="32"/>
          <w:highlight w:val="none"/>
        </w:rPr>
        <w:t>的支持，支持金额</w:t>
      </w:r>
      <w:r>
        <w:rPr>
          <w:rFonts w:hint="eastAsia" w:ascii="仿宋" w:hAnsi="仿宋" w:eastAsia="仿宋" w:cs="Times New Roman"/>
          <w:sz w:val="32"/>
          <w:szCs w:val="32"/>
          <w:highlight w:val="none"/>
          <w:shd w:val="clear" w:color="auto" w:fill="FFFFFF"/>
        </w:rPr>
        <w:t>最高不超过</w:t>
      </w:r>
      <w:r>
        <w:rPr>
          <w:rFonts w:ascii="仿宋" w:hAnsi="仿宋" w:eastAsia="仿宋" w:cs="Times New Roman"/>
          <w:sz w:val="32"/>
          <w:szCs w:val="32"/>
          <w:highlight w:val="none"/>
        </w:rPr>
        <w:t>25</w:t>
      </w:r>
      <w:r>
        <w:rPr>
          <w:rFonts w:hint="eastAsia" w:ascii="仿宋" w:hAnsi="仿宋" w:eastAsia="仿宋" w:cs="Times New Roman"/>
          <w:sz w:val="32"/>
          <w:szCs w:val="32"/>
          <w:highlight w:val="none"/>
        </w:rPr>
        <w:t>万元；对于国家行业主管部门参与、会议规模不少于</w:t>
      </w:r>
      <w:r>
        <w:rPr>
          <w:rFonts w:ascii="仿宋" w:hAnsi="仿宋" w:eastAsia="仿宋" w:cs="Times New Roman"/>
          <w:sz w:val="32"/>
          <w:szCs w:val="32"/>
          <w:highlight w:val="none"/>
        </w:rPr>
        <w:t>200</w:t>
      </w:r>
      <w:r>
        <w:rPr>
          <w:rFonts w:hint="eastAsia" w:ascii="仿宋" w:hAnsi="仿宋" w:eastAsia="仿宋" w:cs="Times New Roman"/>
          <w:sz w:val="32"/>
          <w:szCs w:val="32"/>
          <w:highlight w:val="none"/>
        </w:rPr>
        <w:t>人的全国性活动，给予活动总费用</w:t>
      </w:r>
      <w:r>
        <w:rPr>
          <w:rFonts w:ascii="仿宋" w:hAnsi="仿宋" w:eastAsia="仿宋" w:cs="Times New Roman"/>
          <w:sz w:val="32"/>
          <w:szCs w:val="32"/>
          <w:highlight w:val="none"/>
        </w:rPr>
        <w:t>50%</w:t>
      </w:r>
      <w:r>
        <w:rPr>
          <w:rFonts w:hint="eastAsia" w:ascii="仿宋" w:hAnsi="仿宋" w:eastAsia="仿宋" w:cs="Times New Roman"/>
          <w:sz w:val="32"/>
          <w:szCs w:val="32"/>
          <w:highlight w:val="none"/>
        </w:rPr>
        <w:t>的支持，支持金额</w:t>
      </w:r>
      <w:r>
        <w:rPr>
          <w:rFonts w:hint="eastAsia" w:ascii="仿宋" w:hAnsi="仿宋" w:eastAsia="仿宋" w:cs="Times New Roman"/>
          <w:sz w:val="32"/>
          <w:szCs w:val="32"/>
          <w:highlight w:val="none"/>
          <w:shd w:val="clear" w:color="auto" w:fill="FFFFFF"/>
        </w:rPr>
        <w:t>最高不超过</w:t>
      </w:r>
      <w:r>
        <w:rPr>
          <w:rFonts w:ascii="仿宋" w:hAnsi="仿宋" w:eastAsia="仿宋" w:cs="Times New Roman"/>
          <w:sz w:val="32"/>
          <w:szCs w:val="32"/>
          <w:highlight w:val="none"/>
        </w:rPr>
        <w:t>15</w:t>
      </w:r>
      <w:r>
        <w:rPr>
          <w:rFonts w:hint="eastAsia" w:ascii="仿宋" w:hAnsi="仿宋" w:eastAsia="仿宋" w:cs="Times New Roman"/>
          <w:sz w:val="32"/>
          <w:szCs w:val="32"/>
          <w:highlight w:val="none"/>
        </w:rPr>
        <w:t>万元。每年每家企业支持</w:t>
      </w:r>
      <w:r>
        <w:rPr>
          <w:rFonts w:hint="eastAsia" w:ascii="仿宋" w:hAnsi="仿宋" w:eastAsia="仿宋" w:cs="Times New Roman"/>
          <w:sz w:val="32"/>
          <w:szCs w:val="32"/>
          <w:highlight w:val="none"/>
          <w:shd w:val="clear" w:color="auto" w:fill="FFFFFF"/>
        </w:rPr>
        <w:t>最高不超过</w:t>
      </w:r>
      <w:r>
        <w:rPr>
          <w:rFonts w:ascii="仿宋" w:hAnsi="仿宋" w:eastAsia="仿宋" w:cs="Times New Roman"/>
          <w:sz w:val="32"/>
          <w:szCs w:val="32"/>
          <w:highlight w:val="none"/>
        </w:rPr>
        <w:t>50</w:t>
      </w:r>
      <w:r>
        <w:rPr>
          <w:rFonts w:hint="eastAsia" w:ascii="仿宋" w:hAnsi="仿宋" w:eastAsia="仿宋" w:cs="Times New Roman"/>
          <w:sz w:val="32"/>
          <w:szCs w:val="32"/>
          <w:highlight w:val="none"/>
        </w:rPr>
        <w:t>万元。</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lang w:bidi="ar"/>
        </w:rPr>
      </w:pPr>
      <w:r>
        <w:rPr>
          <w:rFonts w:hint="eastAsia" w:ascii="黑体" w:hAnsi="黑体" w:eastAsia="黑体" w:cs="黑体"/>
          <w:sz w:val="32"/>
          <w:szCs w:val="32"/>
          <w:highlight w:val="none"/>
        </w:rPr>
        <w:t>第十一条</w:t>
      </w:r>
      <w:r>
        <w:rPr>
          <w:rFonts w:ascii="仿宋" w:hAnsi="仿宋" w:eastAsia="仿宋" w:cs="Times New Roman"/>
          <w:sz w:val="32"/>
          <w:szCs w:val="32"/>
          <w:highlight w:val="none"/>
        </w:rPr>
        <w:t xml:space="preserve"> </w:t>
      </w:r>
      <w:r>
        <w:rPr>
          <w:rFonts w:hint="eastAsia" w:ascii="仿宋" w:hAnsi="仿宋" w:eastAsia="仿宋" w:cs="Times New Roman"/>
          <w:sz w:val="32"/>
          <w:szCs w:val="32"/>
          <w:highlight w:val="none"/>
          <w:lang w:bidi="ar"/>
        </w:rPr>
        <w:t>鼓励各园管理局根据实际给予配套支持。</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lang w:bidi="ar"/>
        </w:rPr>
      </w:pPr>
    </w:p>
    <w:p>
      <w:pPr>
        <w:keepNext w:val="0"/>
        <w:keepLines w:val="0"/>
        <w:pageBreakBefore w:val="0"/>
        <w:kinsoku/>
        <w:wordWrap/>
        <w:overflowPunct/>
        <w:topLinePunct w:val="0"/>
        <w:autoSpaceDN/>
        <w:bidi w:val="0"/>
        <w:adjustRightInd/>
        <w:snapToGrid/>
        <w:spacing w:line="560" w:lineRule="exact"/>
        <w:jc w:val="center"/>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第五章</w:t>
      </w:r>
      <w:r>
        <w:rPr>
          <w:rFonts w:ascii="黑体" w:hAnsi="黑体" w:eastAsia="黑体" w:cs="黑体"/>
          <w:sz w:val="32"/>
          <w:szCs w:val="32"/>
          <w:highlight w:val="none"/>
        </w:rPr>
        <w:t xml:space="preserve"> </w:t>
      </w:r>
      <w:r>
        <w:rPr>
          <w:rFonts w:hint="eastAsia" w:ascii="黑体" w:hAnsi="黑体" w:eastAsia="黑体" w:cs="黑体"/>
          <w:sz w:val="32"/>
          <w:szCs w:val="32"/>
          <w:highlight w:val="none"/>
        </w:rPr>
        <w:t>资金拨付及管理</w:t>
      </w:r>
    </w:p>
    <w:p>
      <w:pPr>
        <w:keepNext w:val="0"/>
        <w:keepLines w:val="0"/>
        <w:pageBreakBefore w:val="0"/>
        <w:kinsoku/>
        <w:wordWrap/>
        <w:overflowPunct/>
        <w:topLinePunct w:val="0"/>
        <w:autoSpaceDN/>
        <w:bidi w:val="0"/>
        <w:adjustRightInd/>
        <w:snapToGrid/>
        <w:spacing w:line="560" w:lineRule="exact"/>
        <w:jc w:val="center"/>
        <w:textAlignment w:val="auto"/>
        <w:rPr>
          <w:rFonts w:ascii="黑体" w:hAnsi="黑体" w:eastAsia="黑体" w:cs="黑体"/>
          <w:sz w:val="32"/>
          <w:szCs w:val="32"/>
          <w:highlight w:val="none"/>
        </w:rPr>
      </w:pP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lang w:bidi="ar"/>
        </w:rPr>
      </w:pPr>
      <w:r>
        <w:rPr>
          <w:rFonts w:hint="eastAsia" w:ascii="黑体" w:hAnsi="黑体" w:eastAsia="黑体" w:cs="黑体"/>
          <w:sz w:val="32"/>
          <w:szCs w:val="32"/>
          <w:highlight w:val="none"/>
        </w:rPr>
        <w:t>第十二条</w:t>
      </w:r>
      <w:r>
        <w:rPr>
          <w:rFonts w:ascii="仿宋" w:hAnsi="仿宋" w:eastAsia="仿宋" w:cs="Times New Roman"/>
          <w:sz w:val="32"/>
          <w:szCs w:val="32"/>
          <w:highlight w:val="none"/>
        </w:rPr>
        <w:t xml:space="preserve"> </w:t>
      </w:r>
      <w:r>
        <w:rPr>
          <w:rFonts w:hint="eastAsia" w:ascii="仿宋" w:hAnsi="仿宋" w:eastAsia="仿宋" w:cs="Times New Roman"/>
          <w:sz w:val="32"/>
          <w:szCs w:val="32"/>
          <w:highlight w:val="none"/>
          <w:lang w:bidi="ar"/>
        </w:rPr>
        <w:t>佛山高新区制造业单打冠军企业认定名单</w:t>
      </w:r>
      <w:r>
        <w:rPr>
          <w:rFonts w:ascii="仿宋" w:hAnsi="仿宋" w:eastAsia="仿宋" w:cs="Times New Roman"/>
          <w:sz w:val="32"/>
          <w:szCs w:val="32"/>
          <w:highlight w:val="none"/>
          <w:lang w:bidi="ar"/>
        </w:rPr>
        <w:t>公布</w:t>
      </w:r>
      <w:r>
        <w:rPr>
          <w:rFonts w:hint="eastAsia" w:ascii="仿宋" w:hAnsi="仿宋" w:eastAsia="仿宋" w:cs="Times New Roman"/>
          <w:sz w:val="32"/>
          <w:szCs w:val="32"/>
          <w:highlight w:val="none"/>
          <w:lang w:bidi="ar"/>
        </w:rPr>
        <w:t>后，按照《佛山高新技术产业开发区财政专项经费支出管理办法》规定审批程序，做好资金支出审批。</w:t>
      </w:r>
      <w:r>
        <w:rPr>
          <w:rFonts w:hint="eastAsia" w:ascii="仿宋" w:hAnsi="仿宋" w:eastAsia="仿宋" w:cs="Times New Roman"/>
          <w:sz w:val="32"/>
          <w:szCs w:val="32"/>
          <w:highlight w:val="none"/>
        </w:rPr>
        <w:t>科技创新局</w:t>
      </w:r>
      <w:r>
        <w:rPr>
          <w:rFonts w:hint="eastAsia" w:ascii="仿宋" w:hAnsi="仿宋" w:eastAsia="仿宋" w:cs="Times New Roman"/>
          <w:sz w:val="32"/>
          <w:szCs w:val="32"/>
          <w:highlight w:val="none"/>
          <w:lang w:bidi="ar"/>
        </w:rPr>
        <w:t>根据各园管理局项目申报情况，申请划拨对应项目资助资金给各园管理局，各园管理局划拨资助资金及配套支持资金（如有）至项目承担单位。</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lang w:bidi="ar"/>
        </w:rPr>
      </w:pPr>
      <w:r>
        <w:rPr>
          <w:rFonts w:hint="eastAsia" w:ascii="黑体" w:hAnsi="黑体" w:eastAsia="黑体" w:cs="黑体"/>
          <w:sz w:val="32"/>
          <w:szCs w:val="32"/>
          <w:highlight w:val="none"/>
        </w:rPr>
        <w:t>第十三条</w:t>
      </w:r>
      <w:r>
        <w:rPr>
          <w:rFonts w:ascii="仿宋" w:hAnsi="仿宋" w:eastAsia="仿宋" w:cs="Times New Roman"/>
          <w:sz w:val="32"/>
          <w:szCs w:val="32"/>
          <w:highlight w:val="none"/>
        </w:rPr>
        <w:t xml:space="preserve"> </w:t>
      </w:r>
      <w:r>
        <w:rPr>
          <w:rFonts w:hint="eastAsia" w:ascii="仿宋" w:hAnsi="仿宋" w:eastAsia="仿宋" w:cs="Times New Roman"/>
          <w:sz w:val="32"/>
          <w:szCs w:val="32"/>
          <w:highlight w:val="none"/>
          <w:lang w:bidi="ar"/>
        </w:rPr>
        <w:t>制造业单打冠军企业认定及资助实行信息公开管理，除涉及保密要求等特殊情况不予公开之外，按照《佛山高新技术产业开发区经济发展专项资金管理办法》的相关规定在</w:t>
      </w:r>
      <w:r>
        <w:rPr>
          <w:rFonts w:ascii="仿宋" w:hAnsi="仿宋" w:eastAsia="仿宋" w:cs="Times New Roman"/>
          <w:sz w:val="32"/>
          <w:szCs w:val="32"/>
          <w:highlight w:val="none"/>
          <w:lang w:bidi="ar"/>
        </w:rPr>
        <w:t>“</w:t>
      </w:r>
      <w:r>
        <w:rPr>
          <w:rFonts w:hint="eastAsia" w:ascii="仿宋" w:hAnsi="仿宋" w:eastAsia="仿宋" w:cs="Times New Roman"/>
          <w:sz w:val="32"/>
          <w:szCs w:val="32"/>
          <w:highlight w:val="none"/>
          <w:lang w:bidi="ar"/>
        </w:rPr>
        <w:t>佛山扶持通</w:t>
      </w:r>
      <w:r>
        <w:rPr>
          <w:rFonts w:ascii="仿宋" w:hAnsi="仿宋" w:eastAsia="仿宋" w:cs="Times New Roman"/>
          <w:sz w:val="32"/>
          <w:szCs w:val="32"/>
          <w:highlight w:val="none"/>
          <w:lang w:bidi="ar"/>
        </w:rPr>
        <w:t>”</w:t>
      </w:r>
      <w:r>
        <w:rPr>
          <w:rFonts w:hint="eastAsia" w:ascii="仿宋" w:hAnsi="仿宋" w:eastAsia="仿宋" w:cs="Times New Roman"/>
          <w:sz w:val="32"/>
          <w:szCs w:val="32"/>
          <w:highlight w:val="none"/>
          <w:lang w:bidi="ar"/>
        </w:rPr>
        <w:t>进行公开，主动接受社会监督。</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lang w:bidi="ar"/>
        </w:rPr>
      </w:pPr>
      <w:r>
        <w:rPr>
          <w:rFonts w:hint="eastAsia" w:ascii="黑体" w:hAnsi="黑体" w:eastAsia="黑体" w:cs="黑体"/>
          <w:sz w:val="32"/>
          <w:szCs w:val="32"/>
          <w:highlight w:val="none"/>
        </w:rPr>
        <w:t>第十四条</w:t>
      </w:r>
      <w:r>
        <w:rPr>
          <w:rFonts w:ascii="仿宋" w:hAnsi="仿宋" w:eastAsia="仿宋" w:cs="Times New Roman"/>
          <w:sz w:val="32"/>
          <w:szCs w:val="32"/>
          <w:highlight w:val="none"/>
        </w:rPr>
        <w:t xml:space="preserve"> </w:t>
      </w:r>
      <w:r>
        <w:rPr>
          <w:rFonts w:hint="eastAsia" w:ascii="仿宋" w:hAnsi="仿宋" w:eastAsia="仿宋" w:cs="Times New Roman"/>
          <w:sz w:val="32"/>
          <w:szCs w:val="32"/>
          <w:highlight w:val="none"/>
          <w:lang w:bidi="ar"/>
        </w:rPr>
        <w:t>预算年度终了或预算执行完毕，</w:t>
      </w:r>
      <w:r>
        <w:rPr>
          <w:rFonts w:hint="eastAsia" w:ascii="仿宋" w:hAnsi="仿宋" w:eastAsia="仿宋" w:cs="Times New Roman"/>
          <w:sz w:val="32"/>
          <w:szCs w:val="32"/>
          <w:highlight w:val="none"/>
        </w:rPr>
        <w:t>科技创新局</w:t>
      </w:r>
      <w:r>
        <w:rPr>
          <w:rFonts w:hint="eastAsia" w:ascii="仿宋" w:hAnsi="仿宋" w:eastAsia="仿宋" w:cs="Times New Roman"/>
          <w:sz w:val="32"/>
          <w:szCs w:val="32"/>
          <w:highlight w:val="none"/>
          <w:lang w:bidi="ar"/>
        </w:rPr>
        <w:t>对当年度制造业单打冠军企业扶持资金的绩效指标完成情况和预算执行情况进行评价，形成自评报告报</w:t>
      </w:r>
      <w:r>
        <w:rPr>
          <w:rFonts w:hint="eastAsia" w:ascii="仿宋" w:hAnsi="仿宋" w:eastAsia="仿宋"/>
          <w:sz w:val="32"/>
          <w:szCs w:val="32"/>
          <w:highlight w:val="none"/>
        </w:rPr>
        <w:t>规划和财政局</w:t>
      </w:r>
      <w:r>
        <w:rPr>
          <w:rFonts w:hint="eastAsia" w:ascii="仿宋" w:hAnsi="仿宋" w:eastAsia="仿宋" w:cs="Times New Roman"/>
          <w:sz w:val="32"/>
          <w:szCs w:val="32"/>
          <w:highlight w:val="none"/>
          <w:lang w:bidi="ar"/>
        </w:rPr>
        <w:t>备案。绩效评价具体工作参照《佛山高新技术产业开发区经济发展专项资金管理办法》的相关规定开展。</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lang w:bidi="ar"/>
        </w:rPr>
      </w:pPr>
      <w:r>
        <w:rPr>
          <w:rFonts w:hint="eastAsia" w:ascii="黑体" w:hAnsi="黑体" w:eastAsia="黑体" w:cs="黑体"/>
          <w:sz w:val="32"/>
          <w:szCs w:val="32"/>
          <w:highlight w:val="none"/>
        </w:rPr>
        <w:t>第十五条</w:t>
      </w:r>
      <w:r>
        <w:rPr>
          <w:rFonts w:ascii="仿宋" w:hAnsi="仿宋" w:eastAsia="仿宋" w:cs="Times New Roman"/>
          <w:sz w:val="32"/>
          <w:szCs w:val="32"/>
          <w:highlight w:val="none"/>
        </w:rPr>
        <w:t xml:space="preserve"> </w:t>
      </w:r>
      <w:r>
        <w:rPr>
          <w:rFonts w:hint="eastAsia" w:ascii="仿宋" w:hAnsi="仿宋" w:eastAsia="仿宋" w:cs="Times New Roman"/>
          <w:sz w:val="32"/>
          <w:szCs w:val="32"/>
          <w:highlight w:val="none"/>
          <w:lang w:bidi="ar"/>
        </w:rPr>
        <w:t>佛山高新区管委会计提专项资金总额</w:t>
      </w:r>
      <w:r>
        <w:rPr>
          <w:rFonts w:ascii="仿宋" w:hAnsi="仿宋" w:eastAsia="仿宋" w:cs="Times New Roman"/>
          <w:sz w:val="32"/>
          <w:szCs w:val="32"/>
          <w:highlight w:val="none"/>
          <w:lang w:bidi="ar"/>
        </w:rPr>
        <w:t>1</w:t>
      </w:r>
      <w:r>
        <w:rPr>
          <w:rFonts w:hint="eastAsia" w:ascii="仿宋" w:hAnsi="仿宋" w:eastAsia="仿宋" w:cs="Times New Roman"/>
          <w:sz w:val="32"/>
          <w:szCs w:val="32"/>
          <w:highlight w:val="none"/>
          <w:lang w:bidi="ar"/>
        </w:rPr>
        <w:t>％的前期工作经费（用于下一年度预算项目入库的前期论证、立项、入库评审等）及</w:t>
      </w:r>
      <w:r>
        <w:rPr>
          <w:rFonts w:ascii="仿宋" w:hAnsi="仿宋" w:eastAsia="仿宋" w:cs="Times New Roman"/>
          <w:sz w:val="32"/>
          <w:szCs w:val="32"/>
          <w:highlight w:val="none"/>
          <w:lang w:bidi="ar"/>
        </w:rPr>
        <w:t>1</w:t>
      </w:r>
      <w:r>
        <w:rPr>
          <w:rFonts w:hint="eastAsia" w:ascii="仿宋" w:hAnsi="仿宋" w:eastAsia="仿宋" w:cs="Times New Roman"/>
          <w:sz w:val="32"/>
          <w:szCs w:val="32"/>
          <w:highlight w:val="none"/>
          <w:lang w:bidi="ar"/>
        </w:rPr>
        <w:t>％的事中事后工作经费（用于本年度及以前年度项目验收考评、监督检查、内部审计、绩效管理等）。有其他文件专门就工作经费作出规定的按规定执行。</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rPr>
      </w:pPr>
    </w:p>
    <w:p>
      <w:pPr>
        <w:keepNext w:val="0"/>
        <w:keepLines w:val="0"/>
        <w:pageBreakBefore w:val="0"/>
        <w:kinsoku/>
        <w:wordWrap/>
        <w:overflowPunct/>
        <w:topLinePunct w:val="0"/>
        <w:autoSpaceDN/>
        <w:bidi w:val="0"/>
        <w:adjustRightInd/>
        <w:snapToGrid/>
        <w:spacing w:line="560" w:lineRule="exact"/>
        <w:jc w:val="center"/>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第六章</w:t>
      </w:r>
      <w:r>
        <w:rPr>
          <w:rFonts w:ascii="黑体" w:hAnsi="黑体" w:eastAsia="黑体" w:cs="黑体"/>
          <w:sz w:val="32"/>
          <w:szCs w:val="32"/>
          <w:highlight w:val="none"/>
        </w:rPr>
        <w:t xml:space="preserve"> </w:t>
      </w:r>
      <w:r>
        <w:rPr>
          <w:rFonts w:hint="eastAsia" w:ascii="黑体" w:hAnsi="黑体" w:eastAsia="黑体" w:cs="黑体"/>
          <w:sz w:val="32"/>
          <w:szCs w:val="32"/>
          <w:highlight w:val="none"/>
        </w:rPr>
        <w:t>责任追究</w:t>
      </w:r>
    </w:p>
    <w:p>
      <w:pPr>
        <w:keepNext w:val="0"/>
        <w:keepLines w:val="0"/>
        <w:pageBreakBefore w:val="0"/>
        <w:kinsoku/>
        <w:wordWrap/>
        <w:overflowPunct/>
        <w:topLinePunct w:val="0"/>
        <w:autoSpaceDN/>
        <w:bidi w:val="0"/>
        <w:adjustRightInd/>
        <w:snapToGrid/>
        <w:spacing w:line="560" w:lineRule="exact"/>
        <w:jc w:val="center"/>
        <w:textAlignment w:val="auto"/>
        <w:rPr>
          <w:rFonts w:ascii="黑体" w:hAnsi="黑体" w:eastAsia="黑体" w:cs="黑体"/>
          <w:sz w:val="32"/>
          <w:szCs w:val="32"/>
          <w:highlight w:val="none"/>
        </w:rPr>
      </w:pPr>
    </w:p>
    <w:p>
      <w:pPr>
        <w:keepNext w:val="0"/>
        <w:keepLines w:val="0"/>
        <w:pageBreakBefore w:val="0"/>
        <w:kinsoku/>
        <w:wordWrap/>
        <w:overflowPunct/>
        <w:topLinePunct w:val="0"/>
        <w:autoSpaceDN/>
        <w:bidi w:val="0"/>
        <w:adjustRightInd/>
        <w:snapToGrid/>
        <w:spacing w:line="560" w:lineRule="exact"/>
        <w:ind w:firstLine="640"/>
        <w:textAlignment w:val="auto"/>
        <w:rPr>
          <w:rFonts w:ascii="仿宋" w:hAnsi="仿宋" w:eastAsia="仿宋"/>
          <w:sz w:val="32"/>
          <w:szCs w:val="32"/>
          <w:highlight w:val="none"/>
        </w:rPr>
      </w:pPr>
      <w:r>
        <w:rPr>
          <w:rFonts w:hint="eastAsia" w:ascii="黑体" w:hAnsi="黑体" w:eastAsia="黑体" w:cs="黑体"/>
          <w:sz w:val="32"/>
          <w:szCs w:val="32"/>
          <w:highlight w:val="none"/>
        </w:rPr>
        <w:t>第十六条</w:t>
      </w:r>
      <w:r>
        <w:rPr>
          <w:rFonts w:ascii="仿宋" w:hAnsi="仿宋" w:eastAsia="仿宋"/>
          <w:sz w:val="32"/>
          <w:szCs w:val="32"/>
          <w:highlight w:val="none"/>
        </w:rPr>
        <w:t xml:space="preserve"> </w:t>
      </w:r>
      <w:r>
        <w:rPr>
          <w:rFonts w:hint="eastAsia" w:ascii="仿宋" w:hAnsi="仿宋" w:eastAsia="仿宋"/>
          <w:sz w:val="32"/>
          <w:szCs w:val="32"/>
          <w:highlight w:val="none"/>
        </w:rPr>
        <w:t>对负责专项资金管理的佛山高新区管委会分管领导、部门领导、经办人员在专项资金评审、分配、审批过程中存在违法违规行为的，按照</w:t>
      </w:r>
      <w:r>
        <w:rPr>
          <w:rFonts w:ascii="仿宋" w:hAnsi="仿宋" w:eastAsia="仿宋"/>
          <w:sz w:val="32"/>
          <w:szCs w:val="32"/>
          <w:highlight w:val="none"/>
        </w:rPr>
        <w:t>“</w:t>
      </w:r>
      <w:r>
        <w:rPr>
          <w:rFonts w:hint="eastAsia" w:ascii="仿宋" w:hAnsi="仿宋" w:eastAsia="仿宋"/>
          <w:sz w:val="32"/>
          <w:szCs w:val="32"/>
          <w:highlight w:val="none"/>
        </w:rPr>
        <w:t>谁审批、谁负责</w:t>
      </w:r>
      <w:r>
        <w:rPr>
          <w:rFonts w:ascii="仿宋" w:hAnsi="仿宋" w:eastAsia="仿宋"/>
          <w:sz w:val="32"/>
          <w:szCs w:val="32"/>
          <w:highlight w:val="none"/>
        </w:rPr>
        <w:t>”</w:t>
      </w:r>
      <w:r>
        <w:rPr>
          <w:rFonts w:hint="eastAsia" w:ascii="仿宋" w:hAnsi="仿宋" w:eastAsia="仿宋"/>
          <w:sz w:val="32"/>
          <w:szCs w:val="32"/>
          <w:highlight w:val="none"/>
        </w:rPr>
        <w:t>的原则，视情节轻重承担相应责任。构成犯罪的，依法移送司法机关。</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ascii="仿宋" w:hAnsi="仿宋" w:eastAsia="仿宋"/>
          <w:sz w:val="32"/>
          <w:szCs w:val="32"/>
          <w:highlight w:val="none"/>
        </w:rPr>
      </w:pPr>
      <w:r>
        <w:rPr>
          <w:rFonts w:hint="eastAsia" w:ascii="黑体" w:hAnsi="黑体" w:eastAsia="黑体" w:cs="黑体"/>
          <w:sz w:val="32"/>
          <w:szCs w:val="32"/>
          <w:highlight w:val="none"/>
        </w:rPr>
        <w:t>第十七条</w:t>
      </w:r>
      <w:r>
        <w:rPr>
          <w:rFonts w:ascii="仿宋" w:hAnsi="仿宋" w:eastAsia="仿宋"/>
          <w:sz w:val="32"/>
          <w:szCs w:val="32"/>
          <w:highlight w:val="none"/>
        </w:rPr>
        <w:t xml:space="preserve"> </w:t>
      </w:r>
      <w:r>
        <w:rPr>
          <w:rFonts w:hint="eastAsia" w:ascii="仿宋" w:hAnsi="仿宋" w:eastAsia="仿宋"/>
          <w:sz w:val="32"/>
          <w:szCs w:val="32"/>
          <w:highlight w:val="none"/>
        </w:rPr>
        <w:t>项目承担单位在财政资金申报、管理、使用过程中存在违法违规行为的，依法依规作出严肃处理，追回专项资金，</w:t>
      </w:r>
      <w:r>
        <w:rPr>
          <w:rFonts w:ascii="仿宋" w:hAnsi="仿宋" w:eastAsia="仿宋"/>
          <w:sz w:val="32"/>
          <w:szCs w:val="32"/>
          <w:highlight w:val="none"/>
        </w:rPr>
        <w:t>5</w:t>
      </w:r>
      <w:r>
        <w:rPr>
          <w:rFonts w:hint="eastAsia" w:ascii="仿宋" w:hAnsi="仿宋" w:eastAsia="仿宋"/>
          <w:sz w:val="32"/>
          <w:szCs w:val="32"/>
          <w:highlight w:val="none"/>
        </w:rPr>
        <w:t>年内停止其申报专项资金资格，并向社会公开其违法违规信息。</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sz w:val="32"/>
          <w:szCs w:val="32"/>
          <w:highlight w:val="none"/>
        </w:rPr>
      </w:pPr>
      <w:r>
        <w:rPr>
          <w:rFonts w:hint="eastAsia" w:ascii="黑体" w:hAnsi="黑体" w:eastAsia="黑体" w:cs="黑体"/>
          <w:sz w:val="32"/>
          <w:szCs w:val="32"/>
          <w:highlight w:val="none"/>
        </w:rPr>
        <w:t>第十八条</w:t>
      </w:r>
      <w:r>
        <w:rPr>
          <w:rFonts w:ascii="仿宋" w:hAnsi="仿宋" w:eastAsia="仿宋"/>
          <w:sz w:val="32"/>
          <w:szCs w:val="32"/>
          <w:highlight w:val="none"/>
        </w:rPr>
        <w:t xml:space="preserve"> </w:t>
      </w:r>
      <w:r>
        <w:rPr>
          <w:rFonts w:hint="eastAsia" w:ascii="仿宋" w:hAnsi="仿宋" w:eastAsia="仿宋"/>
          <w:sz w:val="32"/>
          <w:szCs w:val="32"/>
          <w:highlight w:val="none"/>
        </w:rPr>
        <w:t>第三方服务机构按照</w:t>
      </w:r>
      <w:r>
        <w:rPr>
          <w:rFonts w:hint="eastAsia" w:ascii="仿宋" w:hAnsi="仿宋" w:eastAsia="仿宋" w:cs="Times New Roman"/>
          <w:sz w:val="32"/>
          <w:szCs w:val="32"/>
          <w:highlight w:val="none"/>
        </w:rPr>
        <w:t>科技创新局</w:t>
      </w:r>
      <w:r>
        <w:rPr>
          <w:rFonts w:hint="eastAsia" w:ascii="仿宋" w:hAnsi="仿宋" w:eastAsia="仿宋"/>
          <w:sz w:val="32"/>
          <w:szCs w:val="32"/>
          <w:highlight w:val="none"/>
        </w:rPr>
        <w:t>委托事项要求开展具体事务性工作。对第三方服务机构在提供服务过程中存在违法违规行为的，应立即终止合作协议，取消其提供服务资格。</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sz w:val="32"/>
          <w:szCs w:val="32"/>
          <w:highlight w:val="none"/>
        </w:rPr>
      </w:pPr>
    </w:p>
    <w:p>
      <w:pPr>
        <w:keepNext w:val="0"/>
        <w:keepLines w:val="0"/>
        <w:pageBreakBefore w:val="0"/>
        <w:kinsoku/>
        <w:wordWrap/>
        <w:overflowPunct/>
        <w:topLinePunct w:val="0"/>
        <w:autoSpaceDN/>
        <w:bidi w:val="0"/>
        <w:adjustRightInd/>
        <w:snapToGrid/>
        <w:spacing w:line="560" w:lineRule="exact"/>
        <w:jc w:val="center"/>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第七章</w:t>
      </w:r>
      <w:r>
        <w:rPr>
          <w:rFonts w:ascii="黑体" w:hAnsi="黑体" w:eastAsia="黑体" w:cs="黑体"/>
          <w:sz w:val="32"/>
          <w:szCs w:val="32"/>
          <w:highlight w:val="none"/>
        </w:rPr>
        <w:t xml:space="preserve"> </w:t>
      </w:r>
      <w:r>
        <w:rPr>
          <w:rFonts w:hint="eastAsia" w:ascii="黑体" w:hAnsi="黑体" w:eastAsia="黑体" w:cs="黑体"/>
          <w:sz w:val="32"/>
          <w:szCs w:val="32"/>
          <w:highlight w:val="none"/>
        </w:rPr>
        <w:t>附</w:t>
      </w:r>
      <w:r>
        <w:rPr>
          <w:rFonts w:ascii="黑体" w:hAnsi="黑体" w:eastAsia="黑体" w:cs="黑体"/>
          <w:sz w:val="32"/>
          <w:szCs w:val="32"/>
          <w:highlight w:val="none"/>
        </w:rPr>
        <w:t xml:space="preserve"> </w:t>
      </w:r>
      <w:r>
        <w:rPr>
          <w:rFonts w:hint="eastAsia" w:ascii="黑体" w:hAnsi="黑体" w:eastAsia="黑体" w:cs="黑体"/>
          <w:sz w:val="32"/>
          <w:szCs w:val="32"/>
          <w:highlight w:val="none"/>
        </w:rPr>
        <w:t>则</w:t>
      </w:r>
    </w:p>
    <w:p>
      <w:pPr>
        <w:keepNext w:val="0"/>
        <w:keepLines w:val="0"/>
        <w:pageBreakBefore w:val="0"/>
        <w:kinsoku/>
        <w:wordWrap/>
        <w:overflowPunct/>
        <w:topLinePunct w:val="0"/>
        <w:autoSpaceDN/>
        <w:bidi w:val="0"/>
        <w:adjustRightInd/>
        <w:snapToGrid/>
        <w:spacing w:line="560" w:lineRule="exact"/>
        <w:jc w:val="center"/>
        <w:textAlignment w:val="auto"/>
        <w:rPr>
          <w:rFonts w:ascii="黑体" w:hAnsi="黑体" w:eastAsia="黑体" w:cs="黑体"/>
          <w:sz w:val="32"/>
          <w:szCs w:val="32"/>
          <w:highlight w:val="none"/>
        </w:rPr>
      </w:pP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rPr>
      </w:pPr>
      <w:r>
        <w:rPr>
          <w:rFonts w:hint="eastAsia" w:ascii="黑体" w:hAnsi="黑体" w:eastAsia="黑体" w:cs="黑体"/>
          <w:sz w:val="32"/>
          <w:szCs w:val="32"/>
          <w:highlight w:val="none"/>
        </w:rPr>
        <w:t>第十九条</w:t>
      </w:r>
      <w:r>
        <w:rPr>
          <w:rFonts w:ascii="黑体" w:hAnsi="黑体" w:eastAsia="黑体" w:cs="黑体"/>
          <w:sz w:val="32"/>
          <w:szCs w:val="32"/>
          <w:highlight w:val="none"/>
        </w:rPr>
        <w:t xml:space="preserve"> </w:t>
      </w:r>
      <w:r>
        <w:rPr>
          <w:rFonts w:hint="eastAsia" w:ascii="仿宋" w:hAnsi="仿宋" w:eastAsia="仿宋" w:cs="Times New Roman"/>
          <w:sz w:val="32"/>
          <w:szCs w:val="32"/>
          <w:highlight w:val="none"/>
        </w:rPr>
        <w:t>除政策明确规定额外奖补情况外，对符合本细则同时又符合佛山市其他扶持政策规定的同类事项，按照</w:t>
      </w:r>
      <w:r>
        <w:rPr>
          <w:rFonts w:ascii="仿宋" w:hAnsi="仿宋" w:eastAsia="仿宋" w:cs="Times New Roman"/>
          <w:sz w:val="32"/>
          <w:szCs w:val="32"/>
          <w:highlight w:val="none"/>
        </w:rPr>
        <w:t>“</w:t>
      </w:r>
      <w:r>
        <w:rPr>
          <w:rFonts w:hint="eastAsia" w:ascii="仿宋" w:hAnsi="仿宋" w:eastAsia="仿宋" w:cs="Times New Roman"/>
          <w:sz w:val="32"/>
          <w:szCs w:val="32"/>
          <w:highlight w:val="none"/>
        </w:rPr>
        <w:t>从高不重复</w:t>
      </w:r>
      <w:r>
        <w:rPr>
          <w:rFonts w:ascii="仿宋" w:hAnsi="仿宋" w:eastAsia="仿宋" w:cs="Times New Roman"/>
          <w:sz w:val="32"/>
          <w:szCs w:val="32"/>
          <w:highlight w:val="none"/>
        </w:rPr>
        <w:t>”</w:t>
      </w:r>
      <w:r>
        <w:rPr>
          <w:rFonts w:hint="eastAsia" w:ascii="仿宋" w:hAnsi="仿宋" w:eastAsia="仿宋" w:cs="Times New Roman"/>
          <w:sz w:val="32"/>
          <w:szCs w:val="32"/>
          <w:highlight w:val="none"/>
        </w:rPr>
        <w:t>原则给予支持。</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rPr>
      </w:pPr>
      <w:r>
        <w:rPr>
          <w:rFonts w:hint="eastAsia" w:ascii="黑体" w:hAnsi="黑体" w:eastAsia="黑体" w:cs="黑体"/>
          <w:sz w:val="32"/>
          <w:szCs w:val="32"/>
          <w:highlight w:val="none"/>
        </w:rPr>
        <w:t>第二十条</w:t>
      </w:r>
      <w:r>
        <w:rPr>
          <w:rFonts w:ascii="黑体" w:hAnsi="黑体" w:eastAsia="黑体" w:cs="黑体"/>
          <w:sz w:val="32"/>
          <w:szCs w:val="32"/>
          <w:highlight w:val="none"/>
        </w:rPr>
        <w:t xml:space="preserve"> </w:t>
      </w:r>
      <w:r>
        <w:rPr>
          <w:rFonts w:hint="eastAsia" w:ascii="仿宋" w:hAnsi="仿宋" w:eastAsia="仿宋" w:cs="Times New Roman"/>
          <w:sz w:val="32"/>
          <w:szCs w:val="32"/>
          <w:highlight w:val="none"/>
        </w:rPr>
        <w:t>本细则由佛山高新区管委会负责解释。</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rPr>
      </w:pPr>
      <w:r>
        <w:rPr>
          <w:rFonts w:hint="eastAsia" w:ascii="黑体" w:hAnsi="黑体" w:eastAsia="黑体" w:cs="黑体"/>
          <w:sz w:val="32"/>
          <w:szCs w:val="32"/>
          <w:highlight w:val="none"/>
        </w:rPr>
        <w:t>第二十一条</w:t>
      </w:r>
      <w:r>
        <w:rPr>
          <w:rFonts w:ascii="黑体" w:hAnsi="黑体" w:eastAsia="黑体" w:cs="黑体"/>
          <w:sz w:val="32"/>
          <w:szCs w:val="32"/>
          <w:highlight w:val="none"/>
        </w:rPr>
        <w:t xml:space="preserve"> </w:t>
      </w:r>
      <w:r>
        <w:rPr>
          <w:rFonts w:hint="eastAsia" w:ascii="仿宋" w:hAnsi="仿宋" w:eastAsia="仿宋"/>
          <w:sz w:val="32"/>
          <w:szCs w:val="32"/>
          <w:highlight w:val="none"/>
        </w:rPr>
        <w:t>本细则自印发之日起实施，有效期</w:t>
      </w:r>
      <w:r>
        <w:rPr>
          <w:rFonts w:ascii="仿宋" w:hAnsi="仿宋" w:eastAsia="仿宋"/>
          <w:sz w:val="32"/>
          <w:szCs w:val="32"/>
          <w:highlight w:val="none"/>
        </w:rPr>
        <w:t>3</w:t>
      </w:r>
      <w:r>
        <w:rPr>
          <w:rFonts w:hint="eastAsia" w:ascii="仿宋" w:hAnsi="仿宋" w:eastAsia="仿宋"/>
          <w:sz w:val="32"/>
          <w:szCs w:val="32"/>
          <w:highlight w:val="none"/>
        </w:rPr>
        <w:t>年。原《佛山高新技术产业开发区管理委员会制造业单打冠军企业认定及扶持办法》（佛高新〔</w:t>
      </w:r>
      <w:r>
        <w:rPr>
          <w:rFonts w:ascii="仿宋" w:hAnsi="仿宋" w:eastAsia="仿宋"/>
          <w:sz w:val="32"/>
          <w:szCs w:val="32"/>
          <w:highlight w:val="none"/>
        </w:rPr>
        <w:t>2018</w:t>
      </w:r>
      <w:r>
        <w:rPr>
          <w:rFonts w:hint="eastAsia" w:ascii="仿宋" w:hAnsi="仿宋" w:eastAsia="仿宋"/>
          <w:sz w:val="32"/>
          <w:szCs w:val="32"/>
          <w:highlight w:val="none"/>
        </w:rPr>
        <w:t>〕</w:t>
      </w:r>
      <w:r>
        <w:rPr>
          <w:rFonts w:ascii="仿宋" w:hAnsi="仿宋" w:eastAsia="仿宋"/>
          <w:sz w:val="32"/>
          <w:szCs w:val="32"/>
          <w:highlight w:val="none"/>
        </w:rPr>
        <w:t>51</w:t>
      </w:r>
      <w:r>
        <w:rPr>
          <w:rFonts w:hint="eastAsia" w:ascii="仿宋" w:hAnsi="仿宋" w:eastAsia="仿宋"/>
          <w:sz w:val="32"/>
          <w:szCs w:val="32"/>
          <w:highlight w:val="none"/>
        </w:rPr>
        <w:t>号）同时废止。</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pStyle w:val="2"/>
        <w:rPr>
          <w:rFonts w:hint="eastAsia" w:ascii="仿宋" w:hAnsi="仿宋" w:eastAsia="仿宋" w:cs="仿宋"/>
          <w:sz w:val="32"/>
          <w:szCs w:val="32"/>
          <w:highlight w:val="none"/>
        </w:rPr>
      </w:pPr>
    </w:p>
    <w:p>
      <w:pPr>
        <w:pStyle w:val="2"/>
        <w:rPr>
          <w:rFonts w:hint="eastAsia" w:ascii="仿宋" w:hAnsi="仿宋" w:eastAsia="仿宋" w:cs="仿宋"/>
          <w:sz w:val="32"/>
          <w:szCs w:val="32"/>
          <w:highlight w:val="none"/>
        </w:rPr>
      </w:pPr>
    </w:p>
    <w:p>
      <w:pPr>
        <w:pStyle w:val="2"/>
        <w:rPr>
          <w:rFonts w:hint="eastAsia" w:ascii="仿宋" w:hAnsi="仿宋" w:eastAsia="仿宋" w:cs="仿宋"/>
          <w:sz w:val="32"/>
          <w:szCs w:val="32"/>
          <w:highlight w:val="none"/>
        </w:rPr>
      </w:pPr>
    </w:p>
    <w:p>
      <w:pPr>
        <w:pStyle w:val="2"/>
        <w:rPr>
          <w:rFonts w:hint="eastAsia" w:ascii="仿宋" w:hAnsi="仿宋" w:eastAsia="仿宋" w:cs="仿宋"/>
          <w:sz w:val="32"/>
          <w:szCs w:val="32"/>
          <w:highlight w:val="none"/>
        </w:rPr>
      </w:pPr>
    </w:p>
    <w:p>
      <w:pPr>
        <w:pStyle w:val="2"/>
        <w:rPr>
          <w:rFonts w:hint="eastAsia" w:ascii="仿宋" w:hAnsi="仿宋" w:eastAsia="仿宋" w:cs="仿宋"/>
          <w:sz w:val="32"/>
          <w:szCs w:val="32"/>
          <w:highlight w:val="none"/>
        </w:rPr>
      </w:pPr>
    </w:p>
    <w:p>
      <w:pPr>
        <w:pStyle w:val="2"/>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textAlignment w:val="auto"/>
        <w:rPr>
          <w:rFonts w:hint="eastAsia" w:ascii="仿宋" w:hAnsi="仿宋" w:eastAsia="仿宋" w:cs="仿宋"/>
          <w:sz w:val="32"/>
          <w:szCs w:val="32"/>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N/>
        <w:bidi w:val="0"/>
        <w:adjustRightInd/>
        <w:snapToGrid/>
        <w:spacing w:line="560" w:lineRule="exact"/>
        <w:ind w:firstLine="240" w:firstLineChars="100"/>
        <w:textAlignment w:val="auto"/>
        <w:rPr>
          <w:rFonts w:hint="eastAsia" w:ascii="仿宋" w:hAnsi="仿宋" w:eastAsia="仿宋" w:cs="仿宋"/>
          <w:sz w:val="32"/>
          <w:szCs w:val="32"/>
          <w:highlight w:val="none"/>
        </w:rPr>
      </w:pPr>
      <w:r>
        <w:rPr>
          <w:rFonts w:hint="eastAsia" w:ascii="仿宋" w:hAnsi="仿宋" w:eastAsia="仿宋"/>
          <w:spacing w:val="-20"/>
          <w:sz w:val="28"/>
          <w:szCs w:val="28"/>
          <w:highlight w:val="none"/>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33020</wp:posOffset>
                </wp:positionV>
                <wp:extent cx="555942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5594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pt;margin-top:2.6pt;height:0pt;width:437.75pt;z-index:251662336;mso-width-relative:page;mso-height-relative:page;" filled="f" stroked="t" coordsize="21600,21600" o:gfxdata="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nt3kdMAAAAFAQAADwAAAAAA&#10;AAABACAAAAAiAAAAZHJzL2Rvd25yZXYueG1sUEsBAhQAFAAAAAgAh07iQKUw4vnfAQAApAMAAA4A&#10;AAAAAAAAAQAgAAAAIgEAAGRycy9lMm9Eb2MueG1sUEsFBgAAAAAGAAYAWQEAAHMFAAAAAA==&#10;">
                <v:fill on="f" focussize="0,0"/>
                <v:stroke color="#000000" joinstyle="round"/>
                <v:imagedata o:title=""/>
                <o:lock v:ext="edit" aspectratio="f"/>
              </v:line>
            </w:pict>
          </mc:Fallback>
        </mc:AlternateContent>
      </w:r>
      <w:r>
        <w:rPr>
          <w:rFonts w:hint="eastAsia" w:ascii="仿宋_GB2312" w:eastAsia="仿宋_GB2312"/>
          <w:spacing w:val="-20"/>
          <w:sz w:val="28"/>
          <w:szCs w:val="28"/>
          <w:highlight w:val="non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378460</wp:posOffset>
                </wp:positionV>
                <wp:extent cx="555942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5594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9.8pt;height:0pt;width:437.75pt;z-index:251663360;mso-width-relative:page;mso-height-relative:page;" filled="f" stroked="t" coordsize="21600,21600" o:gfxdata="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mRxR9QAAAAGAQAADwAAAAAA&#10;AAABACAAAAAiAAAAZHJzL2Rvd25yZXYueG1sUEsBAhQAFAAAAAgAh07iQGqz+SLeAQAApAMAAA4A&#10;AAAAAAAAAQAgAAAAIwEAAGRycy9lMm9Eb2MueG1sUEsFBgAAAAAGAAYAWQEAAHMFAAAAAA==&#10;">
                <v:fill on="f" focussize="0,0"/>
                <v:stroke color="#000000" joinstyle="round"/>
                <v:imagedata o:title=""/>
                <o:lock v:ext="edit" aspectratio="f"/>
              </v:line>
            </w:pict>
          </mc:Fallback>
        </mc:AlternateContent>
      </w:r>
      <w:r>
        <w:rPr>
          <w:rFonts w:hint="eastAsia" w:ascii="仿宋" w:hAnsi="仿宋" w:eastAsia="仿宋"/>
          <w:spacing w:val="-20"/>
          <w:sz w:val="28"/>
          <w:szCs w:val="28"/>
          <w:highlight w:val="none"/>
        </w:rPr>
        <w:t>佛山高新技术产业开发区</w:t>
      </w:r>
      <w:r>
        <w:rPr>
          <w:rFonts w:hint="eastAsia" w:ascii="仿宋" w:hAnsi="仿宋" w:eastAsia="仿宋"/>
          <w:spacing w:val="-20"/>
          <w:sz w:val="28"/>
          <w:szCs w:val="28"/>
          <w:highlight w:val="none"/>
          <w:lang w:eastAsia="zh-CN"/>
        </w:rPr>
        <w:t>管理委员会党政</w:t>
      </w:r>
      <w:r>
        <w:rPr>
          <w:rFonts w:hint="eastAsia" w:ascii="仿宋" w:hAnsi="仿宋" w:eastAsia="仿宋"/>
          <w:spacing w:val="-20"/>
          <w:sz w:val="28"/>
          <w:szCs w:val="28"/>
          <w:highlight w:val="none"/>
        </w:rPr>
        <w:t xml:space="preserve">办公室    </w:t>
      </w:r>
      <w:r>
        <w:rPr>
          <w:rFonts w:hint="eastAsia" w:ascii="仿宋" w:hAnsi="仿宋" w:eastAsia="仿宋"/>
          <w:spacing w:val="-20"/>
          <w:sz w:val="28"/>
          <w:szCs w:val="28"/>
          <w:highlight w:val="none"/>
          <w:lang w:val="en-US" w:eastAsia="zh-CN"/>
        </w:rPr>
        <w:t xml:space="preserve">  </w:t>
      </w:r>
      <w:r>
        <w:rPr>
          <w:rFonts w:hint="eastAsia" w:ascii="仿宋" w:hAnsi="仿宋" w:eastAsia="仿宋"/>
          <w:spacing w:val="-20"/>
          <w:sz w:val="28"/>
          <w:szCs w:val="28"/>
          <w:highlight w:val="none"/>
        </w:rPr>
        <w:t xml:space="preserve"> </w:t>
      </w:r>
      <w:r>
        <w:rPr>
          <w:rFonts w:hint="eastAsia" w:ascii="仿宋" w:hAnsi="仿宋" w:eastAsia="仿宋"/>
          <w:spacing w:val="-20"/>
          <w:sz w:val="28"/>
          <w:szCs w:val="28"/>
          <w:highlight w:val="none"/>
          <w:lang w:val="en-US" w:eastAsia="zh-CN"/>
        </w:rPr>
        <w:t xml:space="preserve"> </w:t>
      </w:r>
      <w:r>
        <w:rPr>
          <w:rFonts w:hint="eastAsia" w:ascii="仿宋" w:hAnsi="仿宋" w:eastAsia="仿宋"/>
          <w:color w:val="auto"/>
          <w:spacing w:val="-17"/>
          <w:sz w:val="28"/>
          <w:szCs w:val="28"/>
          <w:highlight w:val="none"/>
        </w:rPr>
        <w:t>20</w:t>
      </w:r>
      <w:r>
        <w:rPr>
          <w:rFonts w:hint="eastAsia" w:ascii="仿宋" w:hAnsi="仿宋" w:eastAsia="仿宋"/>
          <w:color w:val="auto"/>
          <w:spacing w:val="-17"/>
          <w:sz w:val="28"/>
          <w:szCs w:val="28"/>
          <w:highlight w:val="none"/>
          <w:lang w:val="en-US" w:eastAsia="zh-CN"/>
        </w:rPr>
        <w:t>20</w:t>
      </w:r>
      <w:r>
        <w:rPr>
          <w:rFonts w:hint="eastAsia" w:ascii="仿宋" w:hAnsi="仿宋" w:eastAsia="仿宋"/>
          <w:color w:val="auto"/>
          <w:spacing w:val="-17"/>
          <w:sz w:val="28"/>
          <w:szCs w:val="28"/>
          <w:highlight w:val="none"/>
        </w:rPr>
        <w:t>年</w:t>
      </w:r>
      <w:r>
        <w:rPr>
          <w:rFonts w:hint="eastAsia" w:ascii="仿宋" w:hAnsi="仿宋" w:eastAsia="仿宋"/>
          <w:color w:val="auto"/>
          <w:spacing w:val="-17"/>
          <w:sz w:val="28"/>
          <w:szCs w:val="28"/>
          <w:highlight w:val="none"/>
          <w:lang w:val="en-US" w:eastAsia="zh-CN"/>
        </w:rPr>
        <w:t>12</w:t>
      </w:r>
      <w:r>
        <w:rPr>
          <w:rFonts w:hint="eastAsia" w:ascii="仿宋" w:hAnsi="仿宋" w:eastAsia="仿宋"/>
          <w:color w:val="auto"/>
          <w:spacing w:val="-17"/>
          <w:sz w:val="28"/>
          <w:szCs w:val="28"/>
          <w:highlight w:val="none"/>
        </w:rPr>
        <w:t>月</w:t>
      </w:r>
      <w:r>
        <w:rPr>
          <w:rFonts w:hint="eastAsia" w:ascii="仿宋" w:hAnsi="仿宋" w:eastAsia="仿宋"/>
          <w:color w:val="auto"/>
          <w:spacing w:val="-17"/>
          <w:sz w:val="28"/>
          <w:szCs w:val="28"/>
          <w:highlight w:val="none"/>
          <w:lang w:val="en-US" w:eastAsia="zh-CN"/>
        </w:rPr>
        <w:t>9</w:t>
      </w:r>
      <w:r>
        <w:rPr>
          <w:rFonts w:hint="eastAsia" w:ascii="仿宋" w:hAnsi="仿宋" w:eastAsia="仿宋"/>
          <w:color w:val="auto"/>
          <w:spacing w:val="-17"/>
          <w:sz w:val="28"/>
          <w:szCs w:val="28"/>
          <w:highlight w:val="none"/>
        </w:rPr>
        <w:t>日印发</w:t>
      </w:r>
      <w:r>
        <w:rPr>
          <w:rFonts w:hint="eastAsia" w:ascii="仿宋" w:hAnsi="仿宋" w:eastAsia="仿宋"/>
          <w:color w:val="auto"/>
          <w:sz w:val="28"/>
          <w:szCs w:val="28"/>
          <w:highlight w:val="none"/>
        </w:rPr>
        <w:t xml:space="preserve"> </w:t>
      </w:r>
      <w:r>
        <w:rPr>
          <w:rFonts w:hint="default" w:ascii="Times New Roman" w:hAnsi="Times New Roman" w:eastAsia="仿宋" w:cs="Times New Roman"/>
          <w:color w:val="auto"/>
          <w:spacing w:val="0"/>
          <w:w w:val="100"/>
          <w:sz w:val="32"/>
          <w:szCs w:val="32"/>
          <w:highlight w:val="none"/>
          <w:u w:val="none"/>
          <w:lang w:val="en-US" w:eastAsia="zh-CN"/>
        </w:rPr>
        <w:t xml:space="preserve"> </w:t>
      </w:r>
    </w:p>
    <w:p>
      <w:bookmarkStart w:id="0" w:name="_GoBack"/>
      <w:bookmarkEnd w:id="0"/>
    </w:p>
    <w:sectPr>
      <w:headerReference r:id="rId3" w:type="default"/>
      <w:footerReference r:id="rId4" w:type="default"/>
      <w:pgSz w:w="11906" w:h="16838"/>
      <w:pgMar w:top="2098" w:right="1474" w:bottom="1984" w:left="1587" w:header="851" w:footer="992" w:gutter="0"/>
      <w:pgNumType w:fmt="numberInDash"/>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微软简标宋">
    <w:altName w:val="宋体"/>
    <w:panose1 w:val="0203060900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51485" cy="2368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51485"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- 9 -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65pt;width:35.55pt;mso-position-horizontal:outside;mso-position-horizontal-relative:margin;mso-wrap-style:none;z-index:251658240;mso-width-relative:page;mso-height-relative:page;" filled="f" stroked="f" coordsize="21600,21600" o:gfxdata="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Yx7H/SAAAAAwEAAA8AAAAAAAAAAQAg&#10;AAAAIgAAAGRycy9kb3ducmV2LnhtbFBLAQIUABQAAAAIAIdO4kAJXTF8FAIAAAUEAAAOAAAAAAAA&#10;AAEAIAAAACEBAABkcnMvZTJvRG9jLnhtbFBLBQYAAAAABgAGAFkBAACnBQ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- 9 -</w:t>
                    </w:r>
                    <w:r>
                      <w:rPr>
                        <w:rFonts w:hint="eastAsia" w:asciiTheme="minorEastAsia" w:hAnsi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8323C"/>
    <w:rsid w:val="3C48323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狮山镇人民政府</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2020-12-09T11:28:00Z</dcterms:created>
  <dc:creator>张锦仪（总工会网管员）</dc:creator>
  <cp:lastModifiedBy>张锦仪（总工会网管员）</cp:lastModifiedBy>
  <dcterms:modified xsi:type="dcterms:W3CDTF">2020-12-09T11:29:01Z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