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佛山高新技术产业开发区管理委员会关于</w:t>
      </w:r>
    </w:p>
    <w:p>
      <w:pPr>
        <w:spacing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高水平主题活动的资助实施细则</w:t>
      </w:r>
    </w:p>
    <w:p>
      <w:pPr>
        <w:spacing w:line="560" w:lineRule="exact"/>
        <w:rPr>
          <w:rFonts w:ascii="仿宋_GB2312" w:eastAsia="仿宋_GB2312"/>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第一章 总则</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 w:cs="Times New Roman"/>
          <w:sz w:val="32"/>
          <w:szCs w:val="32"/>
          <w:highlight w:val="none"/>
        </w:rPr>
        <w:t xml:space="preserve"> </w:t>
      </w:r>
      <w:bookmarkStart w:id="0" w:name="_Hlk53995159"/>
      <w:r>
        <w:rPr>
          <w:rFonts w:ascii="仿宋" w:hAnsi="仿宋" w:eastAsia="仿宋" w:cs="Times New Roman"/>
          <w:sz w:val="32"/>
          <w:szCs w:val="32"/>
          <w:highlight w:val="none"/>
        </w:rPr>
        <w:t>为营造活跃、浓厚的产业发展氛围，促进行业各主体深入开展交流，提升</w:t>
      </w:r>
      <w:r>
        <w:rPr>
          <w:rFonts w:hint="eastAsia" w:ascii="仿宋" w:hAnsi="仿宋" w:eastAsia="仿宋" w:cs="Times New Roman"/>
          <w:sz w:val="32"/>
          <w:szCs w:val="32"/>
          <w:highlight w:val="none"/>
        </w:rPr>
        <w:t>佛山高新技术产业开发区（以下简称佛山高新区）</w:t>
      </w:r>
      <w:r>
        <w:rPr>
          <w:rFonts w:ascii="仿宋" w:hAnsi="仿宋" w:eastAsia="仿宋" w:cs="Times New Roman"/>
          <w:sz w:val="32"/>
          <w:szCs w:val="32"/>
          <w:highlight w:val="none"/>
        </w:rPr>
        <w:t>产业集群知名度和影响力，</w:t>
      </w:r>
      <w:r>
        <w:rPr>
          <w:rFonts w:hint="eastAsia" w:ascii="仿宋" w:hAnsi="仿宋" w:eastAsia="仿宋" w:cs="Times New Roman"/>
          <w:sz w:val="32"/>
          <w:szCs w:val="32"/>
          <w:highlight w:val="none"/>
        </w:rPr>
        <w:t>佛山高新</w:t>
      </w:r>
      <w:r>
        <w:rPr>
          <w:rFonts w:ascii="仿宋" w:hAnsi="仿宋" w:eastAsia="仿宋" w:cs="Times New Roman"/>
          <w:sz w:val="32"/>
          <w:szCs w:val="32"/>
          <w:highlight w:val="none"/>
        </w:rPr>
        <w:t>技术产业</w:t>
      </w:r>
      <w:r>
        <w:rPr>
          <w:rFonts w:hint="eastAsia" w:ascii="仿宋" w:hAnsi="仿宋" w:eastAsia="仿宋" w:cs="Times New Roman"/>
          <w:sz w:val="32"/>
          <w:szCs w:val="32"/>
          <w:highlight w:val="none"/>
        </w:rPr>
        <w:t>开发区管理委员会（以下</w:t>
      </w:r>
      <w:r>
        <w:rPr>
          <w:rFonts w:ascii="仿宋" w:hAnsi="仿宋" w:eastAsia="仿宋" w:cs="Times New Roman"/>
          <w:sz w:val="32"/>
          <w:szCs w:val="32"/>
          <w:highlight w:val="none"/>
        </w:rPr>
        <w:t>简称佛山高新区管委会</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决定支持</w:t>
      </w:r>
      <w:bookmarkStart w:id="1" w:name="_Hlk53998028"/>
      <w:r>
        <w:rPr>
          <w:rFonts w:ascii="仿宋" w:hAnsi="仿宋" w:eastAsia="仿宋" w:cs="Times New Roman"/>
          <w:sz w:val="32"/>
          <w:szCs w:val="32"/>
          <w:highlight w:val="none"/>
        </w:rPr>
        <w:t>举办高水平主题活动</w:t>
      </w:r>
      <w:bookmarkEnd w:id="1"/>
      <w:r>
        <w:rPr>
          <w:rFonts w:ascii="仿宋" w:hAnsi="仿宋" w:eastAsia="仿宋" w:cs="Times New Roman"/>
          <w:sz w:val="32"/>
          <w:szCs w:val="32"/>
          <w:highlight w:val="none"/>
        </w:rPr>
        <w:t>，特制定本细则。</w:t>
      </w:r>
    </w:p>
    <w:bookmarkEnd w:id="0"/>
    <w:p>
      <w:pPr>
        <w:spacing w:line="560" w:lineRule="exact"/>
        <w:ind w:firstLine="640" w:firstLineChars="200"/>
        <w:rPr>
          <w:rFonts w:ascii="Times New Roman" w:hAnsi="Times New Roman" w:eastAsia="仿宋" w:cs="Times New Roman"/>
          <w:b/>
          <w:bCs/>
          <w:sz w:val="32"/>
          <w:szCs w:val="32"/>
          <w:highlight w:val="none"/>
        </w:rPr>
      </w:pPr>
      <w:r>
        <w:rPr>
          <w:rFonts w:ascii="Times New Roman" w:hAnsi="Times New Roman" w:eastAsia="黑体" w:cs="Times New Roman"/>
          <w:sz w:val="32"/>
          <w:szCs w:val="32"/>
          <w:highlight w:val="none"/>
        </w:rPr>
        <w:t xml:space="preserve">第二条 </w:t>
      </w:r>
      <w:r>
        <w:rPr>
          <w:rFonts w:ascii="仿宋" w:hAnsi="仿宋" w:eastAsia="仿宋" w:cs="Times New Roman"/>
          <w:sz w:val="32"/>
          <w:szCs w:val="32"/>
          <w:highlight w:val="none"/>
        </w:rPr>
        <w:t>本细则所</w:t>
      </w:r>
      <w:r>
        <w:rPr>
          <w:rFonts w:hint="eastAsia" w:ascii="仿宋" w:hAnsi="仿宋" w:eastAsia="仿宋" w:cs="Times New Roman"/>
          <w:sz w:val="32"/>
          <w:szCs w:val="32"/>
          <w:highlight w:val="none"/>
        </w:rPr>
        <w:t>称</w:t>
      </w:r>
      <w:r>
        <w:rPr>
          <w:rFonts w:ascii="仿宋" w:hAnsi="仿宋" w:eastAsia="仿宋" w:cs="Times New Roman"/>
          <w:sz w:val="32"/>
          <w:szCs w:val="32"/>
          <w:highlight w:val="none"/>
        </w:rPr>
        <w:t>高水平主题活动是指企事业单位、行业商协会、学会等机构在佛山高新区自主举办有较大影响力的非盈利性行业活动、学术会议等。</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第三条 </w:t>
      </w:r>
      <w:r>
        <w:rPr>
          <w:rFonts w:ascii="仿宋" w:hAnsi="仿宋" w:eastAsia="仿宋" w:cs="Times New Roman"/>
          <w:sz w:val="32"/>
          <w:szCs w:val="32"/>
          <w:highlight w:val="none"/>
        </w:rPr>
        <w:t>佛山高新区管委会在佛山高新区经济发展专项资金中安排一定财政资金用于支持举办高水平主题活动，年度</w:t>
      </w:r>
      <w:r>
        <w:rPr>
          <w:rFonts w:hint="eastAsia" w:ascii="仿宋" w:hAnsi="仿宋" w:eastAsia="仿宋" w:cs="Times New Roman"/>
          <w:sz w:val="32"/>
          <w:szCs w:val="32"/>
          <w:highlight w:val="none"/>
        </w:rPr>
        <w:t>原则上</w:t>
      </w:r>
      <w:r>
        <w:rPr>
          <w:rFonts w:ascii="仿宋" w:hAnsi="仿宋" w:eastAsia="仿宋" w:cs="Times New Roman"/>
          <w:sz w:val="32"/>
          <w:szCs w:val="32"/>
          <w:highlight w:val="none"/>
        </w:rPr>
        <w:t>支持不</w:t>
      </w:r>
      <w:r>
        <w:rPr>
          <w:rFonts w:hint="eastAsia" w:ascii="仿宋" w:hAnsi="仿宋" w:eastAsia="仿宋" w:cs="Times New Roman"/>
          <w:sz w:val="32"/>
          <w:szCs w:val="32"/>
          <w:highlight w:val="none"/>
        </w:rPr>
        <w:t>超过</w:t>
      </w:r>
      <w:r>
        <w:rPr>
          <w:rFonts w:ascii="仿宋" w:hAnsi="仿宋" w:eastAsia="仿宋" w:cs="Times New Roman"/>
          <w:sz w:val="32"/>
          <w:szCs w:val="32"/>
          <w:highlight w:val="none"/>
        </w:rPr>
        <w:t>15次各类主题活动，推动各类产业发展主体开展深入交流和对接，形成较大社会影响力。</w:t>
      </w:r>
    </w:p>
    <w:p>
      <w:pPr>
        <w:spacing w:line="560" w:lineRule="exact"/>
        <w:ind w:firstLine="643" w:firstLineChars="200"/>
        <w:rPr>
          <w:rFonts w:ascii="Times New Roman" w:hAnsi="Times New Roman" w:eastAsia="仿宋" w:cs="Times New Roman"/>
          <w:b/>
          <w:bCs/>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第二章 职责分工</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第四条 </w:t>
      </w:r>
      <w:r>
        <w:rPr>
          <w:rFonts w:ascii="仿宋" w:hAnsi="仿宋" w:eastAsia="仿宋" w:cs="Times New Roman"/>
          <w:sz w:val="32"/>
          <w:szCs w:val="32"/>
          <w:highlight w:val="none"/>
        </w:rPr>
        <w:t>佛山高新区管委会科技创新局（知识产权局）（以下简称</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局）的主要职责是：编制高水平主题活动的资助实施细则；编制申报</w:t>
      </w:r>
      <w:r>
        <w:rPr>
          <w:rFonts w:hint="eastAsia" w:ascii="仿宋" w:hAnsi="仿宋" w:eastAsia="仿宋" w:cs="Times New Roman"/>
          <w:sz w:val="32"/>
          <w:szCs w:val="32"/>
          <w:highlight w:val="none"/>
        </w:rPr>
        <w:t>指南和</w:t>
      </w:r>
      <w:r>
        <w:rPr>
          <w:rFonts w:ascii="仿宋" w:hAnsi="仿宋" w:eastAsia="仿宋" w:cs="Times New Roman"/>
          <w:sz w:val="32"/>
          <w:szCs w:val="32"/>
          <w:highlight w:val="none"/>
        </w:rPr>
        <w:t>通知，组织开展项目申报、评审、立项、结题等工作；组织开展绩效评价；</w:t>
      </w:r>
      <w:r>
        <w:rPr>
          <w:rFonts w:hint="eastAsia" w:ascii="仿宋" w:hAnsi="仿宋" w:eastAsia="仿宋" w:cs="Times New Roman"/>
          <w:sz w:val="32"/>
          <w:szCs w:val="32"/>
          <w:highlight w:val="none"/>
        </w:rPr>
        <w:t>负责项目监督与管理，做</w:t>
      </w:r>
      <w:r>
        <w:rPr>
          <w:rFonts w:ascii="仿宋" w:hAnsi="仿宋" w:eastAsia="仿宋" w:cs="Times New Roman"/>
          <w:sz w:val="32"/>
          <w:szCs w:val="32"/>
          <w:highlight w:val="none"/>
          <w:lang w:bidi="ar"/>
        </w:rPr>
        <w:t>好</w:t>
      </w:r>
      <w:r>
        <w:rPr>
          <w:rFonts w:ascii="仿宋" w:hAnsi="仿宋" w:eastAsia="仿宋" w:cs="Times New Roman"/>
          <w:sz w:val="32"/>
          <w:szCs w:val="32"/>
          <w:highlight w:val="none"/>
        </w:rPr>
        <w:t>佛山高新区各园管理局</w:t>
      </w:r>
      <w:r>
        <w:rPr>
          <w:rFonts w:ascii="仿宋" w:hAnsi="仿宋" w:eastAsia="仿宋" w:cs="Times New Roman"/>
          <w:sz w:val="32"/>
          <w:szCs w:val="32"/>
          <w:highlight w:val="none"/>
          <w:lang w:bidi="ar"/>
        </w:rPr>
        <w:t>的指导与监督工作</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rPr>
        <w:t>接受佛山高新区</w:t>
      </w:r>
      <w:r>
        <w:rPr>
          <w:rFonts w:hint="eastAsia" w:ascii="仿宋" w:hAnsi="仿宋" w:eastAsia="仿宋" w:cs="Times New Roman"/>
          <w:sz w:val="32"/>
          <w:szCs w:val="32"/>
          <w:highlight w:val="none"/>
        </w:rPr>
        <w:t>纪检监察工作委员会、</w:t>
      </w:r>
      <w:r>
        <w:rPr>
          <w:rFonts w:ascii="仿宋" w:hAnsi="仿宋" w:eastAsia="仿宋" w:cs="Times New Roman"/>
          <w:sz w:val="32"/>
          <w:szCs w:val="32"/>
          <w:highlight w:val="none"/>
        </w:rPr>
        <w:t>佛山高新区管委会规划和财政局</w:t>
      </w:r>
      <w:r>
        <w:rPr>
          <w:rFonts w:ascii="Times New Roman" w:hAnsi="Times New Roman" w:eastAsia="仿宋_GB2312" w:cs="Times New Roman"/>
          <w:sz w:val="32"/>
          <w:szCs w:val="32"/>
          <w:highlight w:val="none"/>
        </w:rPr>
        <w:t>（以下简称</w:t>
      </w:r>
      <w:r>
        <w:rPr>
          <w:rFonts w:hint="eastAsia" w:ascii="Times New Roman" w:hAnsi="Times New Roman" w:eastAsia="仿宋_GB2312" w:cs="Times New Roman"/>
          <w:sz w:val="32"/>
          <w:szCs w:val="32"/>
          <w:highlight w:val="none"/>
        </w:rPr>
        <w:t>规划和</w:t>
      </w:r>
      <w:r>
        <w:rPr>
          <w:rFonts w:ascii="Times New Roman" w:hAnsi="Times New Roman" w:eastAsia="仿宋_GB2312" w:cs="Times New Roman"/>
          <w:sz w:val="32"/>
          <w:szCs w:val="32"/>
          <w:highlight w:val="none"/>
        </w:rPr>
        <w:t>财政局）</w:t>
      </w:r>
      <w:r>
        <w:rPr>
          <w:rFonts w:ascii="仿宋" w:hAnsi="仿宋" w:eastAsia="仿宋" w:cs="Times New Roman"/>
          <w:sz w:val="32"/>
          <w:szCs w:val="32"/>
          <w:highlight w:val="none"/>
        </w:rPr>
        <w:t>等的监督。</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第五条 </w:t>
      </w:r>
      <w:r>
        <w:rPr>
          <w:rFonts w:ascii="仿宋" w:hAnsi="仿宋" w:eastAsia="仿宋" w:cs="Times New Roman"/>
          <w:sz w:val="32"/>
          <w:szCs w:val="32"/>
          <w:highlight w:val="none"/>
        </w:rPr>
        <w:t>规划和财政局的主要职责是：按规定拨付资金；监督专项资金使用。</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第六条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佛山高新区各园管理局（以下简称各园管理局）的主要职责是：协助开展项目申报、评审及资金拨付等工作；按</w:t>
      </w:r>
      <w:r>
        <w:rPr>
          <w:rFonts w:hint="eastAsia" w:ascii="仿宋" w:hAnsi="仿宋" w:eastAsia="仿宋" w:cs="Times New Roman"/>
          <w:sz w:val="32"/>
          <w:szCs w:val="32"/>
          <w:highlight w:val="none"/>
        </w:rPr>
        <w:t>评审</w:t>
      </w:r>
      <w:r>
        <w:rPr>
          <w:rFonts w:ascii="仿宋" w:hAnsi="仿宋" w:eastAsia="仿宋" w:cs="Times New Roman"/>
          <w:sz w:val="32"/>
          <w:szCs w:val="32"/>
          <w:highlight w:val="none"/>
        </w:rPr>
        <w:t>结果</w:t>
      </w:r>
      <w:r>
        <w:rPr>
          <w:rFonts w:hint="eastAsia" w:ascii="仿宋" w:hAnsi="仿宋" w:eastAsia="仿宋" w:cs="Times New Roman"/>
          <w:sz w:val="32"/>
          <w:szCs w:val="32"/>
          <w:highlight w:val="none"/>
        </w:rPr>
        <w:t>及各</w:t>
      </w:r>
      <w:r>
        <w:rPr>
          <w:rFonts w:ascii="仿宋" w:hAnsi="仿宋" w:eastAsia="仿宋" w:cs="Times New Roman"/>
          <w:sz w:val="32"/>
          <w:szCs w:val="32"/>
          <w:highlight w:val="none"/>
        </w:rPr>
        <w:t>园政策兑现安排给予项目资金配套支持；对</w:t>
      </w:r>
      <w:r>
        <w:rPr>
          <w:rFonts w:ascii="仿宋" w:hAnsi="仿宋" w:eastAsia="仿宋" w:cs="Times New Roman"/>
          <w:sz w:val="32"/>
          <w:szCs w:val="32"/>
          <w:highlight w:val="none"/>
          <w:lang w:bidi="ar"/>
        </w:rPr>
        <w:t>辖区内项目承担（申报）单位资金的使用进行指导与监督</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及时反映和纠正资助资金使用过程中存在的问题</w:t>
      </w:r>
      <w:r>
        <w:rPr>
          <w:rFonts w:ascii="仿宋" w:hAnsi="仿宋" w:eastAsia="仿宋" w:cs="Times New Roman"/>
          <w:sz w:val="32"/>
          <w:szCs w:val="32"/>
          <w:highlight w:val="none"/>
          <w:lang w:bidi="ar"/>
        </w:rPr>
        <w:t>；</w:t>
      </w:r>
      <w:r>
        <w:rPr>
          <w:rFonts w:ascii="仿宋" w:hAnsi="仿宋" w:eastAsia="仿宋" w:cs="Times New Roman"/>
          <w:sz w:val="32"/>
          <w:szCs w:val="32"/>
          <w:highlight w:val="none"/>
        </w:rPr>
        <w:t>接受</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局业务指导和监督。</w:t>
      </w:r>
    </w:p>
    <w:p>
      <w:pPr>
        <w:spacing w:line="560" w:lineRule="exact"/>
        <w:ind w:firstLine="643" w:firstLineChars="200"/>
        <w:rPr>
          <w:rFonts w:ascii="Times New Roman" w:hAnsi="Times New Roman" w:eastAsia="仿宋" w:cs="Times New Roman"/>
          <w:b/>
          <w:bCs/>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第三章 认定条件</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仿宋" w:hAnsi="仿宋" w:eastAsia="仿宋"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申报单位</w:t>
      </w:r>
      <w:r>
        <w:rPr>
          <w:rFonts w:hint="eastAsia" w:ascii="仿宋" w:hAnsi="仿宋" w:eastAsia="仿宋" w:cs="Times New Roman"/>
          <w:sz w:val="32"/>
          <w:szCs w:val="32"/>
          <w:highlight w:val="none"/>
        </w:rPr>
        <w:t>应当同时符合下列条件</w:t>
      </w:r>
      <w:r>
        <w:rPr>
          <w:rFonts w:ascii="仿宋" w:hAnsi="仿宋" w:eastAsia="仿宋" w:cs="Times New Roman"/>
          <w:sz w:val="32"/>
          <w:szCs w:val="32"/>
          <w:highlight w:val="none"/>
        </w:rPr>
        <w:t>：</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（一）</w:t>
      </w:r>
      <w:r>
        <w:rPr>
          <w:rFonts w:ascii="仿宋" w:hAnsi="仿宋" w:eastAsia="仿宋" w:cs="Times New Roman"/>
          <w:bCs/>
          <w:sz w:val="32"/>
          <w:szCs w:val="32"/>
          <w:highlight w:val="none"/>
        </w:rPr>
        <w:t>依法注册、具备独立法人资格的企业、事业单位、行业商协会、学会等。</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（二）</w:t>
      </w:r>
      <w:r>
        <w:rPr>
          <w:rFonts w:ascii="仿宋" w:hAnsi="仿宋" w:eastAsia="仿宋" w:cs="Times New Roman"/>
          <w:bCs/>
          <w:sz w:val="32"/>
          <w:szCs w:val="32"/>
          <w:highlight w:val="none"/>
        </w:rPr>
        <w:t>为活动的主办单位。主办单位须在活动举办前在佛山高新区管委会入库。行业活动、学术会议主题应符合佛山高新区产业发展方向。</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（三）</w:t>
      </w:r>
      <w:r>
        <w:rPr>
          <w:rFonts w:ascii="仿宋" w:hAnsi="仿宋" w:eastAsia="仿宋" w:cs="Times New Roman"/>
          <w:bCs/>
          <w:sz w:val="32"/>
          <w:szCs w:val="32"/>
          <w:highlight w:val="none"/>
        </w:rPr>
        <w:t>参会人员规模不少于200人，有不少于30家佛山高新区本土企业及创新创业服务机构参与活动。</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（四）</w:t>
      </w:r>
      <w:r>
        <w:rPr>
          <w:rFonts w:ascii="仿宋" w:hAnsi="仿宋" w:eastAsia="仿宋" w:cs="Times New Roman"/>
          <w:bCs/>
          <w:sz w:val="32"/>
          <w:szCs w:val="32"/>
          <w:highlight w:val="none"/>
        </w:rPr>
        <w:t>相关活动新闻被不少于5家国家、省、市知名媒体报道或被相关媒体转载不少于15次（不包含网络自媒体）。</w:t>
      </w:r>
    </w:p>
    <w:p>
      <w:pPr>
        <w:spacing w:line="560" w:lineRule="exact"/>
        <w:ind w:firstLine="643" w:firstLineChars="200"/>
        <w:rPr>
          <w:rFonts w:ascii="仿宋" w:hAnsi="仿宋" w:eastAsia="仿宋"/>
          <w:sz w:val="32"/>
          <w:szCs w:val="32"/>
          <w:highlight w:val="none"/>
          <w:shd w:val="clear" w:color="auto" w:fill="FFFFFF"/>
        </w:rPr>
      </w:pPr>
      <w:r>
        <w:rPr>
          <w:rFonts w:ascii="楷体" w:hAnsi="楷体" w:eastAsia="楷体" w:cs="Times New Roman"/>
          <w:b/>
          <w:bCs/>
          <w:sz w:val="32"/>
          <w:szCs w:val="32"/>
          <w:highlight w:val="none"/>
        </w:rPr>
        <w:t>（</w:t>
      </w:r>
      <w:r>
        <w:rPr>
          <w:rFonts w:hint="eastAsia" w:ascii="楷体" w:hAnsi="楷体" w:eastAsia="楷体" w:cs="Times New Roman"/>
          <w:b/>
          <w:bCs/>
          <w:sz w:val="32"/>
          <w:szCs w:val="32"/>
          <w:highlight w:val="none"/>
        </w:rPr>
        <w:t>五</w:t>
      </w:r>
      <w:r>
        <w:rPr>
          <w:rFonts w:ascii="楷体" w:hAnsi="楷体" w:eastAsia="楷体" w:cs="Times New Roman"/>
          <w:b/>
          <w:bCs/>
          <w:sz w:val="32"/>
          <w:szCs w:val="32"/>
          <w:highlight w:val="none"/>
        </w:rPr>
        <w:t>）</w:t>
      </w:r>
      <w:r>
        <w:rPr>
          <w:rFonts w:hint="eastAsia" w:ascii="仿宋" w:hAnsi="仿宋" w:eastAsia="仿宋"/>
          <w:sz w:val="32"/>
          <w:szCs w:val="32"/>
          <w:highlight w:val="none"/>
          <w:shd w:val="clear" w:color="auto" w:fill="FFFFFF"/>
        </w:rPr>
        <w:t>近三年内未发生重大安全事故、重大环境污染事故、无偷税漏税等违法违规情形</w:t>
      </w:r>
      <w:r>
        <w:rPr>
          <w:rFonts w:ascii="仿宋" w:hAnsi="仿宋" w:eastAsia="仿宋"/>
          <w:sz w:val="32"/>
          <w:szCs w:val="32"/>
          <w:highlight w:val="none"/>
        </w:rPr>
        <w:t>。</w:t>
      </w:r>
    </w:p>
    <w:p>
      <w:pPr>
        <w:spacing w:line="560" w:lineRule="exact"/>
        <w:ind w:firstLine="640" w:firstLineChars="200"/>
        <w:rPr>
          <w:rFonts w:ascii="Times New Roman" w:hAnsi="Times New Roman" w:eastAsia="仿宋_GB2312" w:cs="Times New Roman"/>
          <w:bCs/>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第四章 认定程序及资助政策</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bCs/>
          <w:sz w:val="32"/>
          <w:szCs w:val="32"/>
          <w:highlight w:val="none"/>
          <w:lang w:bidi="ar"/>
        </w:rPr>
        <w:t>第</w:t>
      </w:r>
      <w:r>
        <w:rPr>
          <w:rFonts w:hint="eastAsia" w:ascii="Times New Roman" w:hAnsi="Times New Roman" w:eastAsia="黑体" w:cs="Times New Roman"/>
          <w:bCs/>
          <w:sz w:val="32"/>
          <w:szCs w:val="32"/>
          <w:highlight w:val="none"/>
          <w:lang w:bidi="ar"/>
        </w:rPr>
        <w:t>八</w:t>
      </w:r>
      <w:r>
        <w:rPr>
          <w:rFonts w:ascii="Times New Roman" w:hAnsi="Times New Roman" w:eastAsia="黑体" w:cs="Times New Roman"/>
          <w:bCs/>
          <w:sz w:val="32"/>
          <w:szCs w:val="32"/>
          <w:highlight w:val="none"/>
          <w:lang w:bidi="ar"/>
        </w:rPr>
        <w:t>条</w:t>
      </w:r>
      <w:r>
        <w:rPr>
          <w:rFonts w:ascii="Times New Roman" w:hAnsi="Times New Roman" w:eastAsia="仿宋" w:cs="Times New Roman"/>
          <w:sz w:val="32"/>
          <w:szCs w:val="32"/>
          <w:highlight w:val="none"/>
          <w:lang w:bidi="ar"/>
        </w:rPr>
        <w:t xml:space="preserve"> </w:t>
      </w:r>
      <w:r>
        <w:rPr>
          <w:rFonts w:ascii="仿宋" w:hAnsi="仿宋" w:eastAsia="仿宋" w:cs="Times New Roman"/>
          <w:sz w:val="32"/>
          <w:szCs w:val="32"/>
          <w:highlight w:val="none"/>
          <w:lang w:bidi="ar"/>
        </w:rPr>
        <w:t>佛山高新区管委会根据工作计划和目标，按照“申报、评审、审议、公示</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公布”流程，开展</w:t>
      </w:r>
      <w:r>
        <w:rPr>
          <w:rFonts w:ascii="仿宋" w:hAnsi="仿宋" w:eastAsia="仿宋" w:cs="Times New Roman"/>
          <w:sz w:val="32"/>
          <w:szCs w:val="32"/>
          <w:highlight w:val="none"/>
        </w:rPr>
        <w:t>高水</w:t>
      </w:r>
      <w:r>
        <w:rPr>
          <w:rFonts w:hint="eastAsia" w:ascii="仿宋" w:hAnsi="仿宋" w:eastAsia="仿宋" w:cs="Times New Roman"/>
          <w:sz w:val="32"/>
          <w:szCs w:val="32"/>
          <w:highlight w:val="none"/>
        </w:rPr>
        <w:t>平主题</w:t>
      </w:r>
      <w:r>
        <w:rPr>
          <w:rFonts w:ascii="仿宋" w:hAnsi="仿宋" w:eastAsia="仿宋" w:cs="Times New Roman"/>
          <w:sz w:val="32"/>
          <w:szCs w:val="32"/>
          <w:highlight w:val="none"/>
        </w:rPr>
        <w:t>活动申报</w:t>
      </w:r>
      <w:r>
        <w:rPr>
          <w:rFonts w:hint="eastAsia" w:ascii="仿宋" w:hAnsi="仿宋" w:eastAsia="仿宋" w:cs="Times New Roman"/>
          <w:sz w:val="32"/>
          <w:szCs w:val="32"/>
          <w:highlight w:val="none"/>
        </w:rPr>
        <w:t>与</w:t>
      </w:r>
      <w:r>
        <w:rPr>
          <w:rFonts w:ascii="仿宋" w:hAnsi="仿宋" w:eastAsia="仿宋" w:cs="Times New Roman"/>
          <w:sz w:val="32"/>
          <w:szCs w:val="32"/>
          <w:highlight w:val="none"/>
        </w:rPr>
        <w:t>认定</w:t>
      </w:r>
      <w:r>
        <w:rPr>
          <w:rFonts w:ascii="仿宋" w:hAnsi="仿宋" w:eastAsia="仿宋" w:cs="Times New Roman"/>
          <w:sz w:val="32"/>
          <w:szCs w:val="32"/>
          <w:highlight w:val="none"/>
          <w:lang w:bidi="ar"/>
        </w:rPr>
        <w:t>工作。</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（一）申报</w:t>
      </w:r>
    </w:p>
    <w:p>
      <w:pPr>
        <w:autoSpaceDE w:val="0"/>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编制申报指南及通知，明确项目支持对象、组织形式、申报要求、申报时间、申报流程、材料要求等内容，申报指南和通知在“佛山扶持通”进行发布。</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2.申报单位登陆“佛山扶持通”，按照当年度发布的申报指南及通知要求在线填写申请表，并上传相关</w:t>
      </w:r>
      <w:r>
        <w:rPr>
          <w:rFonts w:hint="eastAsia" w:ascii="仿宋" w:hAnsi="仿宋" w:eastAsia="仿宋" w:cs="Times New Roman"/>
          <w:sz w:val="32"/>
          <w:szCs w:val="32"/>
          <w:highlight w:val="none"/>
          <w:lang w:bidi="ar"/>
        </w:rPr>
        <w:t>材料</w:t>
      </w:r>
      <w:r>
        <w:rPr>
          <w:rFonts w:ascii="仿宋" w:hAnsi="仿宋" w:eastAsia="仿宋" w:cs="Times New Roman"/>
          <w:sz w:val="32"/>
          <w:szCs w:val="32"/>
          <w:highlight w:val="none"/>
          <w:lang w:bidi="ar"/>
        </w:rPr>
        <w:t>。</w:t>
      </w:r>
      <w:r>
        <w:rPr>
          <w:rStyle w:val="6"/>
          <w:rFonts w:ascii="仿宋" w:hAnsi="仿宋" w:eastAsia="仿宋" w:cs="Times New Roman"/>
          <w:i w:val="0"/>
          <w:sz w:val="32"/>
          <w:szCs w:val="32"/>
          <w:highlight w:val="none"/>
          <w:shd w:val="clear" w:color="auto" w:fill="FFFFFF"/>
          <w:lang w:bidi="ar"/>
        </w:rPr>
        <w:t>各园管理局对申报材料进行</w:t>
      </w:r>
      <w:r>
        <w:rPr>
          <w:rFonts w:ascii="仿宋" w:hAnsi="仿宋" w:eastAsia="仿宋" w:cs="Times New Roman"/>
          <w:sz w:val="32"/>
          <w:szCs w:val="32"/>
          <w:highlight w:val="none"/>
          <w:lang w:bidi="ar"/>
        </w:rPr>
        <w:t>初审。初审通过后，申报单位按要求提交纸质材料。</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3.申报材料包括以下内容：（1）佛山高新区高水平主题活动申请表；（2）</w:t>
      </w:r>
      <w:r>
        <w:rPr>
          <w:rFonts w:ascii="仿宋" w:hAnsi="仿宋" w:eastAsia="仿宋" w:cs="Times New Roman"/>
          <w:sz w:val="32"/>
          <w:szCs w:val="32"/>
          <w:highlight w:val="none"/>
        </w:rPr>
        <w:t>佛山高新区项目申报单位信息表；</w:t>
      </w:r>
      <w:r>
        <w:rPr>
          <w:rFonts w:ascii="仿宋" w:hAnsi="仿宋" w:eastAsia="仿宋" w:cs="Times New Roman"/>
          <w:sz w:val="32"/>
          <w:szCs w:val="32"/>
          <w:highlight w:val="none"/>
          <w:lang w:bidi="ar"/>
        </w:rPr>
        <w:t>（3）企业营业执照或事业单位法人证书副本、税务登记证；（4）行业活动或会议的财务审计报告；（5）活动场地及设备租赁合同、付款凭证等；（6）申报单位举办行业活动或会议的策划方案及新闻报道汇编；（7）活动参加人员和企业签到表及现场照片</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8</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申请</w:t>
      </w:r>
      <w:r>
        <w:rPr>
          <w:rFonts w:ascii="仿宋" w:hAnsi="仿宋" w:eastAsia="仿宋" w:cs="Times New Roman"/>
          <w:sz w:val="32"/>
          <w:szCs w:val="32"/>
          <w:highlight w:val="none"/>
          <w:lang w:bidi="ar"/>
        </w:rPr>
        <w:t>承诺书。</w:t>
      </w:r>
    </w:p>
    <w:p>
      <w:pPr>
        <w:autoSpaceDE w:val="0"/>
        <w:spacing w:line="560" w:lineRule="exact"/>
        <w:ind w:firstLine="643" w:firstLineChars="200"/>
        <w:rPr>
          <w:rFonts w:ascii="Times New Roman" w:hAnsi="Times New Roman" w:eastAsia="楷体" w:cs="Times New Roman"/>
          <w:b/>
          <w:bCs/>
          <w:sz w:val="32"/>
          <w:szCs w:val="32"/>
          <w:highlight w:val="none"/>
          <w:lang w:bidi="ar"/>
        </w:rPr>
      </w:pPr>
      <w:r>
        <w:rPr>
          <w:rFonts w:ascii="Times New Roman" w:hAnsi="Times New Roman" w:eastAsia="楷体" w:cs="Times New Roman"/>
          <w:b/>
          <w:bCs/>
          <w:sz w:val="32"/>
          <w:szCs w:val="32"/>
          <w:highlight w:val="none"/>
          <w:lang w:bidi="ar"/>
        </w:rPr>
        <w:t>（二）评审</w:t>
      </w:r>
    </w:p>
    <w:p>
      <w:pPr>
        <w:spacing w:line="56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局或委托第三方</w:t>
      </w:r>
      <w:r>
        <w:rPr>
          <w:rFonts w:hint="eastAsia" w:ascii="仿宋" w:hAnsi="仿宋" w:eastAsia="仿宋" w:cs="Times New Roman"/>
          <w:sz w:val="32"/>
          <w:szCs w:val="32"/>
          <w:highlight w:val="none"/>
          <w:lang w:bidi="ar"/>
        </w:rPr>
        <w:t>服务</w:t>
      </w:r>
      <w:r>
        <w:rPr>
          <w:rFonts w:ascii="仿宋" w:hAnsi="仿宋" w:eastAsia="仿宋" w:cs="Times New Roman"/>
          <w:sz w:val="32"/>
          <w:szCs w:val="32"/>
          <w:highlight w:val="none"/>
          <w:lang w:bidi="ar"/>
        </w:rPr>
        <w:t>机构进行评审，经书面评审程序后，形成佛山高新区高水平主题活动</w:t>
      </w:r>
      <w:r>
        <w:rPr>
          <w:rFonts w:hint="eastAsia" w:ascii="仿宋" w:hAnsi="仿宋" w:eastAsia="仿宋" w:cs="Times New Roman"/>
          <w:sz w:val="32"/>
          <w:szCs w:val="32"/>
          <w:highlight w:val="none"/>
          <w:lang w:bidi="ar"/>
        </w:rPr>
        <w:t>推荐</w:t>
      </w:r>
      <w:r>
        <w:rPr>
          <w:rFonts w:ascii="仿宋" w:hAnsi="仿宋" w:eastAsia="仿宋" w:cs="Times New Roman"/>
          <w:sz w:val="32"/>
          <w:szCs w:val="32"/>
          <w:highlight w:val="none"/>
          <w:lang w:bidi="ar"/>
        </w:rPr>
        <w:t>名单。</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（三）审议</w:t>
      </w:r>
    </w:p>
    <w:p>
      <w:pPr>
        <w:spacing w:line="56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推荐</w:t>
      </w:r>
      <w:r>
        <w:rPr>
          <w:rFonts w:ascii="仿宋" w:hAnsi="仿宋" w:eastAsia="仿宋" w:cs="Times New Roman"/>
          <w:sz w:val="32"/>
          <w:szCs w:val="32"/>
          <w:highlight w:val="none"/>
          <w:lang w:bidi="ar"/>
        </w:rPr>
        <w:t>名单经佛山高新区管委会主任办公会议讨论</w:t>
      </w:r>
      <w:r>
        <w:rPr>
          <w:rFonts w:hint="eastAsia" w:ascii="仿宋" w:hAnsi="仿宋" w:eastAsia="仿宋" w:cs="Times New Roman"/>
          <w:sz w:val="32"/>
          <w:szCs w:val="32"/>
          <w:highlight w:val="none"/>
          <w:lang w:bidi="ar"/>
        </w:rPr>
        <w:t>通过后</w:t>
      </w:r>
      <w:r>
        <w:rPr>
          <w:rFonts w:ascii="仿宋" w:hAnsi="仿宋" w:eastAsia="仿宋" w:cs="Times New Roman"/>
          <w:sz w:val="32"/>
          <w:szCs w:val="32"/>
          <w:highlight w:val="none"/>
          <w:lang w:bidi="ar"/>
        </w:rPr>
        <w:t>，形成拟资助名单。</w:t>
      </w:r>
    </w:p>
    <w:p>
      <w:pPr>
        <w:autoSpaceDE w:val="0"/>
        <w:spacing w:line="56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（四）公示</w:t>
      </w:r>
    </w:p>
    <w:p>
      <w:pPr>
        <w:spacing w:line="560" w:lineRule="exact"/>
        <w:ind w:firstLine="640" w:firstLineChars="200"/>
        <w:rPr>
          <w:rFonts w:ascii="仿宋" w:hAnsi="仿宋" w:eastAsia="仿宋" w:cs="Times New Roman"/>
          <w:b/>
          <w:bCs/>
          <w:sz w:val="32"/>
          <w:szCs w:val="32"/>
          <w:highlight w:val="none"/>
          <w:lang w:bidi="ar"/>
        </w:rPr>
      </w:pP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局将拟资助名单在“佛山扶持通”进行公示，公示期为不低于5个工作日。公示期内接到相关异议的，由各园管理局配合</w:t>
      </w:r>
      <w:r>
        <w:rPr>
          <w:rFonts w:hint="eastAsia" w:ascii="仿宋" w:hAnsi="仿宋" w:eastAsia="仿宋" w:cs="Times New Roman"/>
          <w:sz w:val="32"/>
          <w:szCs w:val="32"/>
          <w:highlight w:val="none"/>
          <w:lang w:bidi="ar"/>
        </w:rPr>
        <w:t>科技创新</w:t>
      </w:r>
      <w:r>
        <w:rPr>
          <w:rFonts w:ascii="仿宋" w:hAnsi="仿宋" w:eastAsia="仿宋" w:cs="Times New Roman"/>
          <w:sz w:val="32"/>
          <w:szCs w:val="32"/>
          <w:highlight w:val="none"/>
          <w:lang w:bidi="ar"/>
        </w:rPr>
        <w:t>局调查核实并提出处理意见，处理意见报佛山高新区管委会主任办公会议审议。</w:t>
      </w:r>
    </w:p>
    <w:p>
      <w:pPr>
        <w:autoSpaceDE w:val="0"/>
        <w:spacing w:line="560" w:lineRule="exact"/>
        <w:ind w:firstLine="643" w:firstLineChars="200"/>
        <w:rPr>
          <w:rFonts w:ascii="Times New Roman" w:hAnsi="Times New Roman" w:eastAsia="楷体" w:cs="Times New Roman"/>
          <w:b/>
          <w:bCs/>
          <w:sz w:val="32"/>
          <w:szCs w:val="32"/>
          <w:highlight w:val="none"/>
          <w:lang w:bidi="ar"/>
        </w:rPr>
      </w:pPr>
      <w:r>
        <w:rPr>
          <w:rFonts w:ascii="Times New Roman" w:hAnsi="Times New Roman" w:eastAsia="楷体" w:cs="Times New Roman"/>
          <w:b/>
          <w:bCs/>
          <w:sz w:val="32"/>
          <w:szCs w:val="32"/>
          <w:highlight w:val="none"/>
          <w:lang w:bidi="ar"/>
        </w:rPr>
        <w:t>（五）公布</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公示无异议</w:t>
      </w:r>
      <w:r>
        <w:rPr>
          <w:rFonts w:hint="eastAsia" w:ascii="仿宋" w:hAnsi="仿宋" w:eastAsia="仿宋" w:cs="Times New Roman"/>
          <w:sz w:val="32"/>
          <w:szCs w:val="32"/>
          <w:highlight w:val="none"/>
          <w:lang w:bidi="ar"/>
        </w:rPr>
        <w:t>或异议</w:t>
      </w:r>
      <w:r>
        <w:rPr>
          <w:rFonts w:ascii="仿宋" w:hAnsi="仿宋" w:eastAsia="仿宋" w:cs="Times New Roman"/>
          <w:sz w:val="32"/>
          <w:szCs w:val="32"/>
          <w:highlight w:val="none"/>
          <w:lang w:bidi="ar"/>
        </w:rPr>
        <w:t>不成立的，资助名单在“佛山扶持通”对外公开发布。</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九</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经</w:t>
      </w:r>
      <w:r>
        <w:rPr>
          <w:rFonts w:hint="eastAsia" w:ascii="仿宋" w:hAnsi="仿宋" w:eastAsia="仿宋" w:cs="Times New Roman"/>
          <w:sz w:val="32"/>
          <w:szCs w:val="32"/>
          <w:highlight w:val="none"/>
          <w:lang w:bidi="ar"/>
        </w:rPr>
        <w:t>申报认定</w:t>
      </w:r>
      <w:r>
        <w:rPr>
          <w:rFonts w:ascii="仿宋" w:hAnsi="仿宋" w:eastAsia="仿宋" w:cs="Times New Roman"/>
          <w:sz w:val="32"/>
          <w:szCs w:val="32"/>
          <w:highlight w:val="none"/>
          <w:lang w:bidi="ar"/>
        </w:rPr>
        <w:t>的非盈利性行业活动、学术会议等，按照活动实际支出的30%给予</w:t>
      </w:r>
      <w:r>
        <w:rPr>
          <w:rFonts w:hint="eastAsia" w:ascii="仿宋" w:hAnsi="仿宋" w:eastAsia="仿宋" w:cs="Times New Roman"/>
          <w:sz w:val="32"/>
          <w:szCs w:val="32"/>
          <w:highlight w:val="none"/>
          <w:lang w:bidi="ar"/>
        </w:rPr>
        <w:t>一次性</w:t>
      </w:r>
      <w:r>
        <w:rPr>
          <w:rFonts w:ascii="仿宋" w:hAnsi="仿宋" w:eastAsia="仿宋" w:cs="Times New Roman"/>
          <w:sz w:val="32"/>
          <w:szCs w:val="32"/>
          <w:highlight w:val="none"/>
          <w:lang w:bidi="ar"/>
        </w:rPr>
        <w:t>后补助，单项活动最高不超过10万元，每家单位每年支持额度不超过30万元。</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第十条 </w:t>
      </w:r>
      <w:r>
        <w:rPr>
          <w:rFonts w:ascii="仿宋" w:hAnsi="仿宋" w:eastAsia="仿宋" w:cs="Times New Roman"/>
          <w:sz w:val="32"/>
          <w:szCs w:val="32"/>
          <w:highlight w:val="none"/>
          <w:lang w:bidi="ar"/>
        </w:rPr>
        <w:t>鼓励各园管理局根据实际给予配套支持。</w:t>
      </w: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第五章 资金拨付及管理</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高水平主题活动资助名单</w:t>
      </w:r>
      <w:r>
        <w:rPr>
          <w:rFonts w:hint="eastAsia" w:ascii="仿宋" w:hAnsi="仿宋" w:eastAsia="仿宋" w:cs="Times New Roman"/>
          <w:sz w:val="32"/>
          <w:szCs w:val="32"/>
          <w:highlight w:val="none"/>
          <w:lang w:bidi="ar"/>
        </w:rPr>
        <w:t>公布</w:t>
      </w:r>
      <w:r>
        <w:rPr>
          <w:rFonts w:ascii="仿宋" w:hAnsi="仿宋" w:eastAsia="仿宋" w:cs="Times New Roman"/>
          <w:sz w:val="32"/>
          <w:szCs w:val="32"/>
          <w:highlight w:val="none"/>
          <w:lang w:bidi="ar"/>
        </w:rPr>
        <w:t>后，按照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财政专项经费支出管理办法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规定审批程序，做好资金支出审批。</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根据各园管理局项目申报情况，申请划拨对应项目资助资金给各园管理局，各园管理局划拨资助资金及配套支持资金（如有）至项目承担单位。</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高水平主题活动申报及资助实行信息公开管理，除涉及保密要求等特殊情况不予公开之外，按照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的相关规定在“佛山扶持通”进行公开，主动接受社会监督。</w:t>
      </w:r>
    </w:p>
    <w:p>
      <w:pPr>
        <w:spacing w:line="56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预算年度终了或预算执行完毕，由</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对当年度高水平主题活动扶持资金的绩效指标完成情况和预算执行情况进行评价，形成自评报告报</w:t>
      </w:r>
      <w:r>
        <w:rPr>
          <w:rFonts w:hint="eastAsia" w:ascii="仿宋" w:hAnsi="仿宋" w:eastAsia="仿宋" w:cs="Times New Roman"/>
          <w:sz w:val="32"/>
          <w:szCs w:val="32"/>
          <w:highlight w:val="none"/>
        </w:rPr>
        <w:t>规划</w:t>
      </w:r>
      <w:r>
        <w:rPr>
          <w:rFonts w:ascii="仿宋" w:hAnsi="仿宋" w:eastAsia="仿宋" w:cs="Times New Roman"/>
          <w:sz w:val="32"/>
          <w:szCs w:val="32"/>
          <w:highlight w:val="none"/>
        </w:rPr>
        <w:t>和财政局</w:t>
      </w:r>
      <w:r>
        <w:rPr>
          <w:rFonts w:ascii="仿宋" w:hAnsi="仿宋" w:eastAsia="仿宋" w:cs="Times New Roman"/>
          <w:sz w:val="32"/>
          <w:szCs w:val="32"/>
          <w:highlight w:val="none"/>
          <w:lang w:bidi="ar"/>
        </w:rPr>
        <w:t>备案。绩效评价具体工作参照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的相关规定开展。</w:t>
      </w:r>
    </w:p>
    <w:p>
      <w:pPr>
        <w:spacing w:line="56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四</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60" w:lineRule="exact"/>
        <w:ind w:firstLine="640" w:firstLineChars="200"/>
        <w:rPr>
          <w:rFonts w:ascii="Times New Roman" w:hAnsi="Times New Roman" w:eastAsia="仿宋"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第六章 责任追究</w:t>
      </w:r>
    </w:p>
    <w:p>
      <w:pPr>
        <w:spacing w:line="560" w:lineRule="exact"/>
        <w:jc w:val="center"/>
        <w:rPr>
          <w:rFonts w:ascii="黑体" w:hAnsi="黑体" w:eastAsia="黑体" w:cs="黑体"/>
          <w:sz w:val="32"/>
          <w:szCs w:val="32"/>
          <w:highlight w:val="none"/>
        </w:rPr>
      </w:pPr>
    </w:p>
    <w:p>
      <w:pPr>
        <w:spacing w:line="560" w:lineRule="exact"/>
        <w:ind w:firstLine="64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十五</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hint="eastAsia" w:ascii="仿宋" w:hAnsi="仿宋" w:eastAsia="仿宋" w:cs="Times New Roman"/>
          <w:sz w:val="32"/>
          <w:szCs w:val="32"/>
          <w:highlight w:val="none"/>
        </w:rPr>
        <w:t>对负责专项资金管理的佛山高新区管委会分管领导、部门领导、经办人员在专项资金评审、分配、审批过程中存在违法违规行为的，按照“谁审批、谁负责”的原则，视情节轻重承担相应责任。构成犯罪的，依法移送司法机关。</w:t>
      </w:r>
    </w:p>
    <w:p>
      <w:pPr>
        <w:spacing w:line="560" w:lineRule="exact"/>
        <w:ind w:firstLine="64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十六</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ascii="仿宋" w:hAnsi="仿宋" w:eastAsia="仿宋" w:cs="Times New Roman"/>
          <w:sz w:val="32"/>
          <w:szCs w:val="32"/>
          <w:highlight w:val="none"/>
        </w:rPr>
        <w:t>项目承担单位在财政资金申报、管理、使用过程中存在违法违规行为的，依法依规作出严肃处理，追回专项资金，5年内停止其申报专项资金资格，并向社会公开其违法违规信息。</w:t>
      </w:r>
    </w:p>
    <w:p>
      <w:pPr>
        <w:spacing w:line="560" w:lineRule="exact"/>
        <w:ind w:firstLine="64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十七</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 w:hAnsi="仿宋" w:eastAsia="仿宋" w:cs="Times New Roman"/>
          <w:sz w:val="32"/>
          <w:szCs w:val="32"/>
          <w:highlight w:val="none"/>
        </w:rPr>
        <w:t>第三方服务机构按照科技创新局委托事项要求开展具体事务性工作。对第三方服务机构在提供服务或评审过程中存在违法违规行为的，应立即终止合作协议，取消其提供服务资格。</w:t>
      </w:r>
    </w:p>
    <w:p>
      <w:pPr>
        <w:spacing w:line="560" w:lineRule="exact"/>
        <w:ind w:firstLine="640"/>
        <w:rPr>
          <w:rFonts w:ascii="Times New Roman" w:hAnsi="Times New Roman" w:eastAsia="仿宋_GB2312" w:cs="Times New Roman"/>
          <w:sz w:val="32"/>
          <w:szCs w:val="32"/>
          <w:highlight w:val="none"/>
        </w:rPr>
      </w:pP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第七章 附 则</w:t>
      </w:r>
    </w:p>
    <w:p>
      <w:pPr>
        <w:spacing w:line="56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十八</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除政策明确规定额外奖补情况外，对符合本细则同时又符合佛山</w:t>
      </w:r>
      <w:r>
        <w:rPr>
          <w:rFonts w:hint="eastAsia" w:ascii="仿宋" w:hAnsi="仿宋" w:eastAsia="仿宋" w:cs="Times New Roman"/>
          <w:sz w:val="32"/>
          <w:szCs w:val="32"/>
          <w:highlight w:val="none"/>
        </w:rPr>
        <w:t>市</w:t>
      </w:r>
      <w:r>
        <w:rPr>
          <w:rFonts w:ascii="仿宋" w:hAnsi="仿宋" w:eastAsia="仿宋" w:cs="Times New Roman"/>
          <w:sz w:val="32"/>
          <w:szCs w:val="32"/>
          <w:highlight w:val="none"/>
        </w:rPr>
        <w:t>其他扶持政策规定的</w:t>
      </w:r>
      <w:r>
        <w:rPr>
          <w:rFonts w:hint="eastAsia" w:ascii="仿宋" w:hAnsi="仿宋" w:eastAsia="仿宋" w:cs="Times New Roman"/>
          <w:sz w:val="32"/>
          <w:szCs w:val="32"/>
          <w:highlight w:val="none"/>
        </w:rPr>
        <w:t>同类</w:t>
      </w:r>
      <w:r>
        <w:rPr>
          <w:rFonts w:ascii="仿宋" w:hAnsi="仿宋" w:eastAsia="仿宋" w:cs="Times New Roman"/>
          <w:sz w:val="32"/>
          <w:szCs w:val="32"/>
          <w:highlight w:val="none"/>
        </w:rPr>
        <w:t>事项，按照“从高不重复”原则给予支持。</w:t>
      </w:r>
      <w:r>
        <w:rPr>
          <w:rFonts w:ascii="仿宋" w:hAnsi="仿宋" w:eastAsia="仿宋" w:cs="Times New Roman"/>
          <w:sz w:val="32"/>
          <w:szCs w:val="32"/>
          <w:highlight w:val="none"/>
          <w:lang w:bidi="ar"/>
        </w:rPr>
        <w:t>已获得国家、省、市扶持资金的行业活动、学术会议不再享受该资助政策。</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十九</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本细则由佛山高新区管委会负责解释。</w:t>
      </w:r>
    </w:p>
    <w:p>
      <w:pPr>
        <w:spacing w:line="560" w:lineRule="exact"/>
        <w:ind w:firstLine="640" w:firstLineChars="200"/>
        <w:rPr>
          <w:rFonts w:ascii="仿宋" w:hAnsi="仿宋" w:eastAsia="仿宋" w:cs="仿宋"/>
          <w:b/>
          <w:bCs/>
          <w:sz w:val="32"/>
          <w:szCs w:val="32"/>
          <w:highlight w:val="none"/>
        </w:rPr>
      </w:pPr>
      <w:r>
        <w:rPr>
          <w:rFonts w:ascii="Times New Roman" w:hAnsi="Times New Roman" w:eastAsia="黑体" w:cs="Times New Roman"/>
          <w:sz w:val="32"/>
          <w:szCs w:val="32"/>
          <w:highlight w:val="none"/>
        </w:rPr>
        <w:t xml:space="preserve">第二十条 </w:t>
      </w:r>
      <w:r>
        <w:rPr>
          <w:rFonts w:ascii="仿宋" w:hAnsi="仿宋" w:eastAsia="仿宋" w:cs="Times New Roman"/>
          <w:sz w:val="32"/>
          <w:szCs w:val="32"/>
          <w:highlight w:val="none"/>
        </w:rPr>
        <w:t>本细则自</w:t>
      </w:r>
      <w:r>
        <w:rPr>
          <w:rFonts w:hint="eastAsia" w:ascii="仿宋" w:hAnsi="仿宋" w:eastAsia="仿宋" w:cs="Times New Roman"/>
          <w:sz w:val="32"/>
          <w:szCs w:val="32"/>
          <w:highlight w:val="none"/>
        </w:rPr>
        <w:t>印发之日</w:t>
      </w:r>
      <w:r>
        <w:rPr>
          <w:rFonts w:ascii="仿宋" w:hAnsi="仿宋" w:eastAsia="仿宋" w:cs="Times New Roman"/>
          <w:sz w:val="32"/>
          <w:szCs w:val="32"/>
          <w:highlight w:val="none"/>
        </w:rPr>
        <w:t>起实施，有效期</w:t>
      </w:r>
      <w:r>
        <w:rPr>
          <w:rFonts w:hint="eastAsia" w:ascii="仿宋" w:hAnsi="仿宋" w:eastAsia="仿宋" w:cs="Times New Roman"/>
          <w:sz w:val="32"/>
          <w:szCs w:val="32"/>
          <w:highlight w:val="none"/>
        </w:rPr>
        <w:t>3</w:t>
      </w:r>
      <w:r>
        <w:rPr>
          <w:rFonts w:ascii="仿宋" w:hAnsi="仿宋" w:eastAsia="仿宋" w:cs="Times New Roman"/>
          <w:sz w:val="32"/>
          <w:szCs w:val="32"/>
          <w:highlight w:val="none"/>
        </w:rPr>
        <w:t>年。</w:t>
      </w:r>
    </w:p>
    <w:p>
      <w:pPr>
        <w:spacing w:line="560" w:lineRule="exact"/>
        <w:ind w:firstLine="643" w:firstLineChars="200"/>
        <w:rPr>
          <w:rFonts w:ascii="仿宋" w:hAnsi="仿宋" w:eastAsia="仿宋" w:cs="仿宋"/>
          <w:b/>
          <w:bCs/>
          <w:sz w:val="32"/>
          <w:szCs w:val="32"/>
          <w:highlight w:val="none"/>
        </w:rPr>
      </w:pPr>
    </w:p>
    <w:p>
      <w:pPr>
        <w:spacing w:line="560" w:lineRule="exact"/>
        <w:ind w:firstLine="643" w:firstLineChars="200"/>
        <w:rPr>
          <w:rFonts w:ascii="仿宋" w:hAnsi="仿宋" w:eastAsia="仿宋" w:cs="仿宋"/>
          <w:b/>
          <w:bCs/>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pStyle w:val="2"/>
        <w:rPr>
          <w:rFonts w:ascii="仿宋" w:hAnsi="仿宋" w:eastAsia="仿宋" w:cs="仿宋"/>
          <w:sz w:val="32"/>
          <w:szCs w:val="32"/>
          <w:highlight w:val="none"/>
        </w:rPr>
      </w:pPr>
    </w:p>
    <w:p>
      <w:pPr>
        <w:pStyle w:val="2"/>
        <w:rPr>
          <w:rFonts w:ascii="仿宋" w:hAnsi="仿宋" w:eastAsia="仿宋" w:cs="仿宋"/>
          <w:sz w:val="32"/>
          <w:szCs w:val="32"/>
          <w:highlight w:val="none"/>
        </w:rPr>
      </w:pPr>
    </w:p>
    <w:p>
      <w:pPr>
        <w:pStyle w:val="2"/>
        <w:rPr>
          <w:rFonts w:ascii="仿宋" w:hAnsi="仿宋" w:eastAsia="仿宋" w:cs="仿宋"/>
          <w:sz w:val="32"/>
          <w:szCs w:val="32"/>
          <w:highlight w:val="none"/>
        </w:rPr>
      </w:pPr>
    </w:p>
    <w:p>
      <w:pPr>
        <w:pStyle w:val="2"/>
        <w:spacing w:line="560" w:lineRule="exact"/>
        <w:ind w:firstLine="0" w:firstLineChars="0"/>
        <w:rPr>
          <w:rFonts w:ascii="仿宋" w:hAnsi="仿宋" w:eastAsia="仿宋" w:cs="仿宋"/>
          <w:sz w:val="32"/>
          <w:szCs w:val="32"/>
          <w:highlight w:val="none"/>
        </w:rPr>
      </w:pPr>
    </w:p>
    <w:p>
      <w:pPr>
        <w:spacing w:line="560" w:lineRule="exact"/>
        <w:ind w:firstLine="240" w:firstLineChars="100"/>
        <w:rPr>
          <w:rFonts w:ascii="仿宋" w:hAnsi="仿宋" w:eastAsia="仿宋" w:cs="仿宋"/>
          <w:sz w:val="32"/>
          <w:szCs w:val="32"/>
          <w:highlight w:val="none"/>
        </w:rPr>
      </w:pPr>
      <w:r>
        <w:rPr>
          <w:rFonts w:hint="eastAsia" w:ascii="仿宋" w:hAnsi="仿宋" w:eastAsia="仿宋"/>
          <w:spacing w:val="-2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33020</wp:posOffset>
                </wp:positionV>
                <wp:extent cx="5559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pt;margin-top:2.6pt;height:0pt;width:437.75pt;z-index:251662336;mso-width-relative:page;mso-height-relative:page;" filled="f" stroked="t" coordsize="21600,21600" o:gfxdata="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nt3kdMAAAAFAQAADwAAAAAAAAABACAAAAAi&#10;AAAAZHJzL2Rvd25yZXYueG1sUEsBAhQAFAAAAAgAh07iQOf021/WAQAAmAMAAA4AAAAAAAAAAQAg&#10;AAAAIgEAAGRycy9lMm9Eb2MueG1sUEsFBgAAAAAGAAYAWQEAAGoFAAAAAA==&#10;">
                <v:fill on="f" focussize="0,0"/>
                <v:stroke color="#000000" joinstyle="round"/>
                <v:imagedata o:title=""/>
                <o:lock v:ext="edit" aspectratio="f"/>
              </v:line>
            </w:pict>
          </mc:Fallback>
        </mc:AlternateContent>
      </w:r>
      <w:r>
        <w:rPr>
          <w:rFonts w:hint="eastAsia" w:ascii="仿宋_GB2312" w:eastAsia="仿宋_GB2312"/>
          <w:spacing w:val="-2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378460</wp:posOffset>
                </wp:positionV>
                <wp:extent cx="5559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9.8pt;height:0pt;width:437.75pt;z-index:251663360;mso-width-relative:page;mso-height-relative:page;" filled="f" stroked="t" coordsize="21600,21600" o:gfxdata="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mRxR9QAAAAGAQAADwAAAAAAAAABACAAAAAi&#10;AAAAZHJzL2Rvd25yZXYueG1sUEsBAhQAFAAAAAgAh07iQBk5FFXVAQAAmAMAAA4AAAAAAAAAAQAg&#10;AAAAIwEAAGRycy9lMm9Eb2MueG1sUEsFBgAAAAAGAAYAWQEAAGoFAAAAAA==&#10;">
                <v:fill on="f" focussize="0,0"/>
                <v:stroke color="#000000" joinstyle="round"/>
                <v:imagedata o:title=""/>
                <o:lock v:ext="edit" aspectratio="f"/>
              </v:line>
            </w:pict>
          </mc:Fallback>
        </mc:AlternateContent>
      </w:r>
      <w:r>
        <w:rPr>
          <w:rFonts w:hint="eastAsia" w:ascii="仿宋" w:hAnsi="仿宋" w:eastAsia="仿宋"/>
          <w:spacing w:val="-20"/>
          <w:sz w:val="28"/>
          <w:szCs w:val="28"/>
          <w:highlight w:val="none"/>
        </w:rPr>
        <w:t xml:space="preserve">佛山高新技术产业开发区管理委员会党政办公室         </w:t>
      </w:r>
      <w:r>
        <w:rPr>
          <w:rFonts w:hint="eastAsia" w:ascii="仿宋" w:hAnsi="仿宋" w:eastAsia="仿宋"/>
          <w:spacing w:val="-17"/>
          <w:sz w:val="28"/>
          <w:szCs w:val="28"/>
          <w:highlight w:val="none"/>
        </w:rPr>
        <w:t>2020年</w:t>
      </w:r>
      <w:r>
        <w:rPr>
          <w:rFonts w:hint="eastAsia" w:ascii="仿宋" w:hAnsi="仿宋" w:eastAsia="仿宋"/>
          <w:spacing w:val="-17"/>
          <w:sz w:val="28"/>
          <w:szCs w:val="28"/>
          <w:highlight w:val="none"/>
          <w:lang w:val="en-US" w:eastAsia="zh-CN"/>
        </w:rPr>
        <w:t>12</w:t>
      </w:r>
      <w:r>
        <w:rPr>
          <w:rFonts w:hint="eastAsia" w:ascii="仿宋" w:hAnsi="仿宋" w:eastAsia="仿宋"/>
          <w:spacing w:val="-17"/>
          <w:sz w:val="28"/>
          <w:szCs w:val="28"/>
          <w:highlight w:val="none"/>
        </w:rPr>
        <w:t>月</w:t>
      </w:r>
      <w:r>
        <w:rPr>
          <w:rFonts w:hint="eastAsia" w:ascii="仿宋" w:hAnsi="仿宋" w:eastAsia="仿宋"/>
          <w:spacing w:val="-17"/>
          <w:sz w:val="28"/>
          <w:szCs w:val="28"/>
          <w:highlight w:val="none"/>
          <w:lang w:val="en-US" w:eastAsia="zh-CN"/>
        </w:rPr>
        <w:t>9</w:t>
      </w:r>
      <w:r>
        <w:rPr>
          <w:rFonts w:hint="eastAsia" w:ascii="仿宋" w:hAnsi="仿宋" w:eastAsia="仿宋"/>
          <w:spacing w:val="-17"/>
          <w:sz w:val="28"/>
          <w:szCs w:val="28"/>
          <w:highlight w:val="none"/>
        </w:rPr>
        <w:t>日印发</w:t>
      </w:r>
      <w:r>
        <w:rPr>
          <w:rFonts w:hint="eastAsia" w:ascii="仿宋" w:hAnsi="仿宋" w:eastAsia="仿宋"/>
          <w:sz w:val="28"/>
          <w:szCs w:val="28"/>
          <w:highlight w:val="none"/>
        </w:rPr>
        <w:t xml:space="preserve"> </w:t>
      </w:r>
      <w:r>
        <w:rPr>
          <w:rFonts w:ascii="Times New Roman" w:hAnsi="Times New Roman" w:eastAsia="仿宋" w:cs="Times New Roman"/>
          <w:sz w:val="32"/>
          <w:szCs w:val="32"/>
          <w:highlight w:val="none"/>
        </w:rPr>
        <w:t xml:space="preserve"> </w:t>
      </w:r>
    </w:p>
    <w:p>
      <w:bookmarkStart w:id="2" w:name="_GoBack"/>
      <w:bookmarkEnd w:id="2"/>
    </w:p>
    <w:sectPr>
      <w:headerReference r:id="rId3" w:type="default"/>
      <w:footerReference r:id="rId4" w:type="default"/>
      <w:pgSz w:w="11906" w:h="16838"/>
      <w:pgMar w:top="2098" w:right="1474" w:bottom="1984"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58240;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x7H/SAAAAAwEAAA8AAAAAAAAAAQAg&#10;AAAAIgAAAGRycy9kb3ducmV2LnhtbFBLAQIUABQAAAAIAIdO4kAJXTF8FAIAAAUEAAAOAAAAAAAA&#10;AAEAIAAAACEBAABkcnMvZTJvRG9jLnhtbFBLBQYAAAAABgAGAFkBAACn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82649"/>
    <w:rsid w:val="084826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2020-12-09T11:46:00Z</dcterms:created>
  <dc:creator>张锦仪（总工会网管员）</dc:creator>
  <cp:lastModifiedBy>张锦仪（总工会网管员）</cp:lastModifiedBy>
  <dcterms:modified xsi:type="dcterms:W3CDTF">2020-12-09T11:46:36Z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