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line="560" w:lineRule="exact"/>
        <w:jc w:val="center"/>
        <w:textAlignment w:val="auto"/>
        <w:rPr>
          <w:rFonts w:eastAsia="方正小标宋简体"/>
          <w:sz w:val="44"/>
          <w:szCs w:val="44"/>
          <w:highlight w:val="none"/>
        </w:rPr>
      </w:pPr>
      <w:bookmarkStart w:id="0" w:name="_Hlk53843107"/>
      <w:r>
        <w:rPr>
          <w:rFonts w:eastAsia="方正小标宋简体"/>
          <w:sz w:val="44"/>
          <w:szCs w:val="44"/>
          <w:highlight w:val="none"/>
        </w:rPr>
        <w:t>佛山高新技术产业开发区管理委员会关于</w:t>
      </w:r>
    </w:p>
    <w:p>
      <w:pPr>
        <w:keepNext w:val="0"/>
        <w:keepLines w:val="0"/>
        <w:pageBreakBefore w:val="0"/>
        <w:kinsoku/>
        <w:wordWrap/>
        <w:overflowPunct/>
        <w:topLinePunct w:val="0"/>
        <w:autoSpaceDN/>
        <w:bidi w:val="0"/>
        <w:adjustRightInd/>
        <w:snapToGrid/>
        <w:spacing w:line="560" w:lineRule="exact"/>
        <w:jc w:val="center"/>
        <w:textAlignment w:val="auto"/>
        <w:rPr>
          <w:rFonts w:eastAsia="方正小标宋简体"/>
          <w:sz w:val="44"/>
          <w:szCs w:val="44"/>
          <w:highlight w:val="none"/>
        </w:rPr>
      </w:pPr>
      <w:r>
        <w:rPr>
          <w:rFonts w:eastAsia="方正小标宋简体"/>
          <w:sz w:val="44"/>
          <w:szCs w:val="44"/>
          <w:highlight w:val="none"/>
        </w:rPr>
        <w:t>科技创新服务机构的资助实施细则</w:t>
      </w:r>
    </w:p>
    <w:bookmarkEnd w:id="0"/>
    <w:p>
      <w:pPr>
        <w:keepNext w:val="0"/>
        <w:keepLines w:val="0"/>
        <w:pageBreakBefore w:val="0"/>
        <w:kinsoku/>
        <w:wordWrap/>
        <w:overflowPunct/>
        <w:topLinePunct w:val="0"/>
        <w:autoSpaceDN/>
        <w:bidi w:val="0"/>
        <w:adjustRightInd/>
        <w:snapToGrid/>
        <w:spacing w:line="560" w:lineRule="exact"/>
        <w:textAlignment w:val="auto"/>
        <w:rPr>
          <w:rFonts w:eastAsia="仿宋_GB2312"/>
          <w:sz w:val="32"/>
          <w:szCs w:val="32"/>
          <w:highlight w:val="none"/>
        </w:rPr>
      </w:pPr>
    </w:p>
    <w:p>
      <w:pPr>
        <w:keepNext w:val="0"/>
        <w:keepLines w:val="0"/>
        <w:pageBreakBefore w:val="0"/>
        <w:kinsoku/>
        <w:wordWrap/>
        <w:overflowPunct/>
        <w:topLinePunct w:val="0"/>
        <w:autoSpaceDN/>
        <w:bidi w:val="0"/>
        <w:adjustRightInd/>
        <w:snapToGrid/>
        <w:spacing w:line="560" w:lineRule="exact"/>
        <w:jc w:val="center"/>
        <w:textAlignment w:val="auto"/>
        <w:rPr>
          <w:rFonts w:eastAsia="黑体"/>
          <w:sz w:val="32"/>
          <w:szCs w:val="32"/>
          <w:highlight w:val="none"/>
        </w:rPr>
      </w:pPr>
      <w:r>
        <w:rPr>
          <w:rFonts w:eastAsia="黑体"/>
          <w:sz w:val="32"/>
          <w:szCs w:val="32"/>
          <w:highlight w:val="none"/>
        </w:rPr>
        <w:t>第一章  总则</w:t>
      </w:r>
    </w:p>
    <w:p>
      <w:pPr>
        <w:keepNext w:val="0"/>
        <w:keepLines w:val="0"/>
        <w:pageBreakBefore w:val="0"/>
        <w:kinsoku/>
        <w:wordWrap/>
        <w:overflowPunct/>
        <w:topLinePunct w:val="0"/>
        <w:autoSpaceDN/>
        <w:bidi w:val="0"/>
        <w:adjustRightInd/>
        <w:snapToGrid/>
        <w:spacing w:line="560" w:lineRule="exact"/>
        <w:jc w:val="center"/>
        <w:textAlignment w:val="auto"/>
        <w:rPr>
          <w:rFonts w:eastAsia="黑体"/>
          <w:sz w:val="32"/>
          <w:szCs w:val="32"/>
          <w:highlight w:val="none"/>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eastAsia="仿宋"/>
          <w:sz w:val="32"/>
          <w:highlight w:val="none"/>
          <w:shd w:val="clear" w:color="auto" w:fill="FFFFFF"/>
        </w:rPr>
      </w:pPr>
      <w:r>
        <w:rPr>
          <w:rFonts w:eastAsia="黑体"/>
          <w:sz w:val="32"/>
          <w:szCs w:val="32"/>
          <w:highlight w:val="none"/>
        </w:rPr>
        <w:t>第一条</w:t>
      </w:r>
      <w:r>
        <w:rPr>
          <w:rFonts w:eastAsia="黑体"/>
          <w:bCs/>
          <w:sz w:val="32"/>
          <w:highlight w:val="none"/>
          <w:shd w:val="clear" w:color="auto" w:fill="FFFFFF"/>
        </w:rPr>
        <w:t xml:space="preserve"> </w:t>
      </w:r>
      <w:r>
        <w:rPr>
          <w:rFonts w:eastAsia="仿宋"/>
          <w:sz w:val="32"/>
          <w:szCs w:val="32"/>
          <w:highlight w:val="none"/>
        </w:rPr>
        <w:t>为推进</w:t>
      </w:r>
      <w:r>
        <w:rPr>
          <w:rFonts w:hint="eastAsia" w:eastAsia="仿宋"/>
          <w:sz w:val="32"/>
          <w:szCs w:val="32"/>
          <w:highlight w:val="none"/>
        </w:rPr>
        <w:t>佛山高新技术产业开发区（以下简称佛山高新区）</w:t>
      </w:r>
      <w:r>
        <w:rPr>
          <w:rFonts w:eastAsia="仿宋"/>
          <w:sz w:val="32"/>
          <w:szCs w:val="32"/>
          <w:highlight w:val="none"/>
        </w:rPr>
        <w:t>创新驱动发展，提升园区整体创新能力，鼓励和支持科技创新服务机构提质升级，促进高水平科技创新服务机构落户，助力佛山建设中国“互联网+智能制造”试点城市，佛山高新技术产业开发区管理委员会（以下简称佛山高新区管委会）决定开展科技创新服务机构资助工作，特制定本细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eastAsia="仿宋_GB2312"/>
          <w:bCs/>
          <w:sz w:val="32"/>
          <w:szCs w:val="32"/>
          <w:highlight w:val="none"/>
        </w:rPr>
      </w:pPr>
      <w:r>
        <w:rPr>
          <w:rFonts w:eastAsia="黑体"/>
          <w:sz w:val="32"/>
          <w:highlight w:val="none"/>
          <w:shd w:val="clear" w:color="auto" w:fill="FFFFFF"/>
        </w:rPr>
        <w:t>第二条</w:t>
      </w:r>
      <w:r>
        <w:rPr>
          <w:rFonts w:eastAsia="仿宋"/>
          <w:sz w:val="32"/>
          <w:highlight w:val="none"/>
          <w:shd w:val="clear" w:color="auto" w:fill="FFFFFF"/>
        </w:rPr>
        <w:t xml:space="preserve"> 本细则所指的科技创新服务机构分为</w:t>
      </w:r>
      <w:r>
        <w:rPr>
          <w:rFonts w:hint="eastAsia" w:ascii="仿宋" w:hAnsi="仿宋" w:eastAsia="仿宋"/>
          <w:bCs/>
          <w:sz w:val="32"/>
          <w:szCs w:val="32"/>
          <w:highlight w:val="none"/>
        </w:rPr>
        <w:t>A、B、C、D</w:t>
      </w:r>
      <w:r>
        <w:rPr>
          <w:rFonts w:hint="eastAsia" w:ascii="仿宋" w:hAnsi="仿宋" w:eastAsia="仿宋"/>
          <w:sz w:val="32"/>
          <w:highlight w:val="none"/>
          <w:shd w:val="clear" w:color="auto" w:fill="FFFFFF"/>
        </w:rPr>
        <w:t>四类。</w:t>
      </w:r>
      <w:r>
        <w:rPr>
          <w:rFonts w:hint="eastAsia" w:ascii="仿宋" w:hAnsi="仿宋" w:eastAsia="仿宋"/>
          <w:bCs/>
          <w:sz w:val="32"/>
          <w:szCs w:val="32"/>
          <w:highlight w:val="none"/>
        </w:rPr>
        <w:t>其中，A、B两类</w:t>
      </w:r>
      <w:r>
        <w:rPr>
          <w:rFonts w:hint="eastAsia" w:ascii="仿宋" w:hAnsi="仿宋" w:eastAsia="仿宋"/>
          <w:sz w:val="32"/>
          <w:highlight w:val="none"/>
          <w:shd w:val="clear" w:color="auto" w:fill="FFFFFF"/>
        </w:rPr>
        <w:t>是指</w:t>
      </w:r>
      <w:r>
        <w:rPr>
          <w:rFonts w:hint="eastAsia" w:ascii="仿宋" w:hAnsi="仿宋" w:eastAsia="仿宋"/>
          <w:bCs/>
          <w:sz w:val="32"/>
          <w:szCs w:val="32"/>
          <w:highlight w:val="none"/>
        </w:rPr>
        <w:t>国家高新区评价考核指标体系中</w:t>
      </w:r>
      <w:r>
        <w:rPr>
          <w:rFonts w:hint="eastAsia" w:ascii="仿宋" w:hAnsi="仿宋" w:eastAsia="仿宋"/>
          <w:sz w:val="32"/>
          <w:highlight w:val="none"/>
          <w:shd w:val="clear" w:color="auto" w:fill="FFFFFF"/>
        </w:rPr>
        <w:t>认定的</w:t>
      </w:r>
      <w:r>
        <w:rPr>
          <w:rFonts w:hint="eastAsia" w:ascii="仿宋" w:hAnsi="仿宋" w:eastAsia="仿宋"/>
          <w:bCs/>
          <w:sz w:val="32"/>
          <w:highlight w:val="none"/>
          <w:shd w:val="clear" w:color="auto" w:fill="FFFFFF"/>
        </w:rPr>
        <w:t>国家级、省级各类研发机构和公共服务机构</w:t>
      </w:r>
      <w:r>
        <w:rPr>
          <w:rFonts w:hint="eastAsia" w:ascii="仿宋" w:hAnsi="仿宋" w:eastAsia="仿宋"/>
          <w:sz w:val="32"/>
          <w:highlight w:val="none"/>
          <w:shd w:val="clear" w:color="auto" w:fill="FFFFFF"/>
        </w:rPr>
        <w:t>。</w:t>
      </w:r>
      <w:r>
        <w:rPr>
          <w:rFonts w:hint="eastAsia" w:ascii="仿宋" w:hAnsi="仿宋" w:eastAsia="仿宋"/>
          <w:bCs/>
          <w:sz w:val="32"/>
          <w:szCs w:val="32"/>
          <w:highlight w:val="none"/>
        </w:rPr>
        <w:t>A类包括国家或行业归口研究院所、国家重点实验室、国家认定的企业技术中心、国家工程研究中心、国家工程技术研究中心、</w:t>
      </w:r>
      <w:bookmarkStart w:id="1" w:name="OLE_LINK2"/>
      <w:bookmarkStart w:id="2" w:name="OLE_LINK1"/>
      <w:r>
        <w:rPr>
          <w:rFonts w:hint="eastAsia" w:ascii="仿宋" w:hAnsi="仿宋" w:eastAsia="仿宋"/>
          <w:bCs/>
          <w:sz w:val="32"/>
          <w:szCs w:val="32"/>
          <w:highlight w:val="none"/>
        </w:rPr>
        <w:t>国家工程实验室</w:t>
      </w:r>
      <w:bookmarkEnd w:id="1"/>
      <w:bookmarkEnd w:id="2"/>
      <w:r>
        <w:rPr>
          <w:rFonts w:hint="eastAsia" w:ascii="仿宋" w:hAnsi="仿宋" w:eastAsia="仿宋"/>
          <w:bCs/>
          <w:sz w:val="32"/>
          <w:szCs w:val="32"/>
          <w:highlight w:val="none"/>
        </w:rPr>
        <w:t>、</w:t>
      </w:r>
      <w:bookmarkStart w:id="3" w:name="OLE_LINK3"/>
      <w:r>
        <w:rPr>
          <w:rFonts w:hint="eastAsia" w:ascii="仿宋" w:hAnsi="仿宋" w:eastAsia="仿宋"/>
          <w:bCs/>
          <w:sz w:val="32"/>
          <w:szCs w:val="32"/>
          <w:highlight w:val="none"/>
        </w:rPr>
        <w:t>国家地方联合工程研究中心</w:t>
      </w:r>
      <w:bookmarkEnd w:id="3"/>
      <w:r>
        <w:rPr>
          <w:rFonts w:hint="eastAsia" w:ascii="仿宋" w:hAnsi="仿宋" w:eastAsia="仿宋"/>
          <w:bCs/>
          <w:sz w:val="32"/>
          <w:szCs w:val="32"/>
          <w:highlight w:val="none"/>
        </w:rPr>
        <w:t>、国家技术转移示范机构；</w:t>
      </w:r>
      <w:r>
        <w:rPr>
          <w:rFonts w:hint="eastAsia" w:ascii="仿宋" w:hAnsi="仿宋" w:eastAsia="仿宋"/>
          <w:sz w:val="32"/>
          <w:szCs w:val="32"/>
          <w:highlight w:val="none"/>
        </w:rPr>
        <w:t>B类包括国家认定的博士后工作站、广东省企业技术中心、广东省重点实验室、广东省</w:t>
      </w:r>
      <w:bookmarkStart w:id="4" w:name="OLE_LINK5"/>
      <w:bookmarkStart w:id="5" w:name="OLE_LINK4"/>
      <w:r>
        <w:rPr>
          <w:rFonts w:hint="eastAsia" w:ascii="仿宋" w:hAnsi="仿宋" w:eastAsia="仿宋"/>
          <w:sz w:val="32"/>
          <w:szCs w:val="32"/>
          <w:highlight w:val="none"/>
        </w:rPr>
        <w:t>新型</w:t>
      </w:r>
      <w:bookmarkEnd w:id="4"/>
      <w:bookmarkEnd w:id="5"/>
      <w:r>
        <w:rPr>
          <w:rFonts w:hint="eastAsia" w:ascii="仿宋" w:hAnsi="仿宋" w:eastAsia="仿宋"/>
          <w:sz w:val="32"/>
          <w:szCs w:val="32"/>
          <w:highlight w:val="none"/>
        </w:rPr>
        <w:t>研发机构、国家级研发机构分中心、国家技术转移示范机构在佛山高新区设立的分支机构</w:t>
      </w:r>
      <w:r>
        <w:rPr>
          <w:rFonts w:hint="eastAsia" w:ascii="仿宋" w:hAnsi="仿宋" w:eastAsia="仿宋"/>
          <w:bCs/>
          <w:sz w:val="32"/>
          <w:szCs w:val="32"/>
          <w:highlight w:val="none"/>
        </w:rPr>
        <w:t>。C类是指国内外知名高校、科研机构、行业龙头企业等在</w:t>
      </w:r>
      <w:r>
        <w:rPr>
          <w:rFonts w:hint="eastAsia" w:ascii="仿宋" w:hAnsi="仿宋" w:eastAsia="仿宋"/>
          <w:sz w:val="32"/>
          <w:szCs w:val="32"/>
          <w:highlight w:val="none"/>
        </w:rPr>
        <w:t>佛山高新区</w:t>
      </w:r>
      <w:r>
        <w:rPr>
          <w:rFonts w:hint="eastAsia" w:ascii="仿宋" w:hAnsi="仿宋" w:eastAsia="仿宋"/>
          <w:bCs/>
          <w:sz w:val="32"/>
          <w:szCs w:val="32"/>
          <w:highlight w:val="none"/>
        </w:rPr>
        <w:t>设立的研发机构或分支机构（包括工业互联网平台）。D类是指高水平公共服务机构，包括技术转移服务类机构、检验检测服务类机构、知识产权服务类机构等。</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eastAsia="仿宋_GB2312"/>
          <w:sz w:val="32"/>
          <w:highlight w:val="none"/>
          <w:shd w:val="clear" w:color="auto" w:fill="FFFFFF"/>
        </w:rPr>
      </w:pPr>
      <w:r>
        <w:rPr>
          <w:rFonts w:eastAsia="黑体"/>
          <w:sz w:val="32"/>
          <w:highlight w:val="none"/>
          <w:shd w:val="clear" w:color="auto" w:fill="FFFFFF"/>
        </w:rPr>
        <w:t xml:space="preserve">第三条 </w:t>
      </w:r>
      <w:r>
        <w:rPr>
          <w:rFonts w:eastAsia="仿宋"/>
          <w:sz w:val="32"/>
          <w:highlight w:val="none"/>
          <w:shd w:val="clear" w:color="auto" w:fill="FFFFFF"/>
        </w:rPr>
        <w:t>佛山高新区管委会在佛山高新区经济发展专项资金中安排一定财政资金用于扶持科技创新服务机构发展，每年支持一批科技创新服务机构，推动佛山高新区打造成为省市产业共性技术研究开发、重大科技成果转化的重要平台。</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eastAsia="仿宋_GB2312"/>
          <w:sz w:val="32"/>
          <w:highlight w:val="none"/>
          <w:shd w:val="clear" w:color="auto" w:fill="FFFFFF"/>
        </w:rPr>
      </w:pPr>
    </w:p>
    <w:p>
      <w:pPr>
        <w:keepNext w:val="0"/>
        <w:keepLines w:val="0"/>
        <w:pageBreakBefore w:val="0"/>
        <w:kinsoku/>
        <w:wordWrap/>
        <w:overflowPunct/>
        <w:topLinePunct w:val="0"/>
        <w:autoSpaceDN/>
        <w:bidi w:val="0"/>
        <w:adjustRightInd/>
        <w:snapToGrid/>
        <w:spacing w:line="560" w:lineRule="exact"/>
        <w:jc w:val="center"/>
        <w:textAlignment w:val="auto"/>
        <w:rPr>
          <w:rFonts w:eastAsia="黑体"/>
          <w:sz w:val="32"/>
          <w:szCs w:val="32"/>
          <w:highlight w:val="none"/>
        </w:rPr>
      </w:pPr>
      <w:r>
        <w:rPr>
          <w:rFonts w:eastAsia="黑体"/>
          <w:sz w:val="32"/>
          <w:szCs w:val="32"/>
          <w:highlight w:val="none"/>
        </w:rPr>
        <w:t>第二章  职责分工</w:t>
      </w:r>
    </w:p>
    <w:p>
      <w:pPr>
        <w:keepNext w:val="0"/>
        <w:keepLines w:val="0"/>
        <w:pageBreakBefore w:val="0"/>
        <w:kinsoku/>
        <w:wordWrap/>
        <w:overflowPunct/>
        <w:topLinePunct w:val="0"/>
        <w:autoSpaceDN/>
        <w:bidi w:val="0"/>
        <w:adjustRightInd/>
        <w:snapToGrid/>
        <w:spacing w:line="560" w:lineRule="exact"/>
        <w:jc w:val="center"/>
        <w:textAlignment w:val="auto"/>
        <w:rPr>
          <w:rFonts w:eastAsia="黑体"/>
          <w:sz w:val="32"/>
          <w:szCs w:val="32"/>
          <w:highlight w:val="none"/>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eastAsia="仿宋"/>
          <w:sz w:val="32"/>
          <w:szCs w:val="32"/>
          <w:highlight w:val="none"/>
        </w:rPr>
      </w:pPr>
      <w:r>
        <w:rPr>
          <w:rFonts w:eastAsia="黑体"/>
          <w:sz w:val="32"/>
          <w:szCs w:val="32"/>
          <w:highlight w:val="none"/>
        </w:rPr>
        <w:t xml:space="preserve">第四条 </w:t>
      </w:r>
      <w:r>
        <w:rPr>
          <w:rFonts w:eastAsia="仿宋"/>
          <w:sz w:val="32"/>
          <w:szCs w:val="32"/>
          <w:highlight w:val="none"/>
        </w:rPr>
        <w:t>佛山高新区管委会科技创新局（知识产权局）（以下简称</w:t>
      </w:r>
      <w:r>
        <w:rPr>
          <w:rFonts w:hint="eastAsia" w:eastAsia="仿宋"/>
          <w:sz w:val="32"/>
          <w:szCs w:val="32"/>
          <w:highlight w:val="none"/>
        </w:rPr>
        <w:t>科技创新</w:t>
      </w:r>
      <w:r>
        <w:rPr>
          <w:rFonts w:eastAsia="仿宋"/>
          <w:sz w:val="32"/>
          <w:szCs w:val="32"/>
          <w:highlight w:val="none"/>
        </w:rPr>
        <w:t>局）的主要职责是：编制</w:t>
      </w:r>
      <w:r>
        <w:rPr>
          <w:rFonts w:eastAsia="仿宋"/>
          <w:sz w:val="32"/>
          <w:highlight w:val="none"/>
          <w:shd w:val="clear" w:color="auto" w:fill="FFFFFF"/>
        </w:rPr>
        <w:t>科技创新服务机构</w:t>
      </w:r>
      <w:r>
        <w:rPr>
          <w:rFonts w:eastAsia="仿宋"/>
          <w:sz w:val="32"/>
          <w:szCs w:val="32"/>
          <w:highlight w:val="none"/>
        </w:rPr>
        <w:t>的资助实施细则；编制申报指南和通知，组织开展项目申报、评审、立项、结题等工作；组织开展绩效评价；负责项目监督与管理，做好</w:t>
      </w:r>
      <w:r>
        <w:rPr>
          <w:rFonts w:hint="eastAsia" w:eastAsia="仿宋"/>
          <w:sz w:val="32"/>
          <w:szCs w:val="32"/>
          <w:highlight w:val="none"/>
        </w:rPr>
        <w:t>佛山高新区</w:t>
      </w:r>
      <w:r>
        <w:rPr>
          <w:rFonts w:eastAsia="仿宋"/>
          <w:sz w:val="32"/>
          <w:szCs w:val="32"/>
          <w:highlight w:val="none"/>
        </w:rPr>
        <w:t>各园管理局的指导与监督工作；接受</w:t>
      </w:r>
      <w:r>
        <w:rPr>
          <w:rFonts w:hint="eastAsia" w:eastAsia="仿宋"/>
          <w:sz w:val="32"/>
          <w:szCs w:val="32"/>
          <w:highlight w:val="none"/>
        </w:rPr>
        <w:t>佛山高新区纪检监察工作委员会、</w:t>
      </w:r>
      <w:r>
        <w:rPr>
          <w:rFonts w:eastAsia="仿宋"/>
          <w:sz w:val="32"/>
          <w:szCs w:val="32"/>
          <w:highlight w:val="none"/>
        </w:rPr>
        <w:t>佛山高新区管委会规划和财政局（以下简称</w:t>
      </w:r>
      <w:r>
        <w:rPr>
          <w:rFonts w:hint="eastAsia" w:eastAsia="仿宋"/>
          <w:sz w:val="32"/>
          <w:szCs w:val="32"/>
          <w:highlight w:val="none"/>
        </w:rPr>
        <w:t>规划和</w:t>
      </w:r>
      <w:r>
        <w:rPr>
          <w:rFonts w:eastAsia="仿宋"/>
          <w:sz w:val="32"/>
          <w:szCs w:val="32"/>
          <w:highlight w:val="none"/>
        </w:rPr>
        <w:t>财政局）等的监督。</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eastAsia="仿宋_GB2312"/>
          <w:sz w:val="32"/>
          <w:szCs w:val="32"/>
          <w:highlight w:val="none"/>
        </w:rPr>
      </w:pPr>
      <w:r>
        <w:rPr>
          <w:rFonts w:eastAsia="黑体"/>
          <w:sz w:val="32"/>
          <w:szCs w:val="32"/>
          <w:highlight w:val="none"/>
        </w:rPr>
        <w:t>第五条</w:t>
      </w:r>
      <w:r>
        <w:rPr>
          <w:rFonts w:hint="eastAsia" w:eastAsia="仿宋"/>
          <w:sz w:val="32"/>
          <w:szCs w:val="32"/>
          <w:highlight w:val="none"/>
        </w:rPr>
        <w:t xml:space="preserve"> </w:t>
      </w:r>
      <w:r>
        <w:rPr>
          <w:rFonts w:eastAsia="仿宋"/>
          <w:sz w:val="32"/>
          <w:szCs w:val="32"/>
          <w:highlight w:val="none"/>
        </w:rPr>
        <w:t>规划和财政局的主要职责是：按规定拨付资金；监督专项资金使用。</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eastAsia="仿宋"/>
          <w:sz w:val="32"/>
          <w:szCs w:val="32"/>
          <w:highlight w:val="none"/>
        </w:rPr>
      </w:pPr>
      <w:r>
        <w:rPr>
          <w:rFonts w:eastAsia="黑体"/>
          <w:sz w:val="32"/>
          <w:szCs w:val="32"/>
          <w:highlight w:val="none"/>
        </w:rPr>
        <w:t>第六条</w:t>
      </w:r>
      <w:r>
        <w:rPr>
          <w:rFonts w:eastAsia="仿宋"/>
          <w:sz w:val="32"/>
          <w:szCs w:val="32"/>
          <w:highlight w:val="none"/>
        </w:rPr>
        <w:t xml:space="preserve"> 佛山高新区各园管理局（以下简称各园管理局）的主要职责是：协助开展项目申报、评审及资金拨付等工作；按评审结果及各园政策兑现安排给予项目资金配套支持；接受</w:t>
      </w:r>
      <w:r>
        <w:rPr>
          <w:rFonts w:hint="eastAsia" w:eastAsia="仿宋"/>
          <w:sz w:val="32"/>
          <w:szCs w:val="32"/>
          <w:highlight w:val="none"/>
        </w:rPr>
        <w:t>科技创新</w:t>
      </w:r>
      <w:r>
        <w:rPr>
          <w:rFonts w:eastAsia="仿宋"/>
          <w:sz w:val="32"/>
          <w:szCs w:val="32"/>
          <w:highlight w:val="none"/>
        </w:rPr>
        <w:t>局业务指导和监督；对</w:t>
      </w:r>
      <w:r>
        <w:rPr>
          <w:rFonts w:eastAsia="仿宋"/>
          <w:sz w:val="32"/>
          <w:szCs w:val="32"/>
          <w:highlight w:val="none"/>
          <w:lang w:bidi="ar"/>
        </w:rPr>
        <w:t>辖区内项目承担单位资金的使用进行指导与监督</w:t>
      </w:r>
      <w:r>
        <w:rPr>
          <w:rFonts w:eastAsia="仿宋"/>
          <w:sz w:val="32"/>
          <w:szCs w:val="32"/>
          <w:highlight w:val="none"/>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eastAsia="仿宋"/>
          <w:sz w:val="32"/>
          <w:szCs w:val="32"/>
          <w:highlight w:val="none"/>
        </w:rPr>
      </w:pPr>
    </w:p>
    <w:p>
      <w:pPr>
        <w:keepNext w:val="0"/>
        <w:keepLines w:val="0"/>
        <w:pageBreakBefore w:val="0"/>
        <w:kinsoku/>
        <w:wordWrap/>
        <w:overflowPunct/>
        <w:topLinePunct w:val="0"/>
        <w:autoSpaceDN/>
        <w:bidi w:val="0"/>
        <w:adjustRightInd/>
        <w:snapToGrid/>
        <w:spacing w:line="560" w:lineRule="exact"/>
        <w:jc w:val="center"/>
        <w:textAlignment w:val="auto"/>
        <w:rPr>
          <w:rFonts w:eastAsia="黑体"/>
          <w:sz w:val="32"/>
          <w:szCs w:val="32"/>
          <w:highlight w:val="none"/>
        </w:rPr>
      </w:pPr>
      <w:r>
        <w:rPr>
          <w:rFonts w:eastAsia="黑体"/>
          <w:sz w:val="32"/>
          <w:szCs w:val="32"/>
          <w:highlight w:val="none"/>
        </w:rPr>
        <w:t>第三章 申报条件</w:t>
      </w:r>
    </w:p>
    <w:p>
      <w:pPr>
        <w:keepNext w:val="0"/>
        <w:keepLines w:val="0"/>
        <w:pageBreakBefore w:val="0"/>
        <w:kinsoku/>
        <w:wordWrap/>
        <w:overflowPunct/>
        <w:topLinePunct w:val="0"/>
        <w:autoSpaceDN/>
        <w:bidi w:val="0"/>
        <w:adjustRightInd/>
        <w:snapToGrid/>
        <w:spacing w:line="560" w:lineRule="exact"/>
        <w:jc w:val="center"/>
        <w:textAlignment w:val="auto"/>
        <w:rPr>
          <w:rFonts w:eastAsia="黑体"/>
          <w:sz w:val="32"/>
          <w:szCs w:val="32"/>
          <w:highlight w:val="none"/>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eastAsia="仿宋"/>
          <w:sz w:val="32"/>
          <w:szCs w:val="32"/>
          <w:highlight w:val="none"/>
        </w:rPr>
      </w:pPr>
      <w:r>
        <w:rPr>
          <w:rFonts w:eastAsia="黑体"/>
          <w:sz w:val="32"/>
          <w:szCs w:val="32"/>
          <w:highlight w:val="none"/>
        </w:rPr>
        <w:t xml:space="preserve">第七条 </w:t>
      </w:r>
      <w:r>
        <w:rPr>
          <w:rFonts w:eastAsia="仿宋"/>
          <w:sz w:val="32"/>
          <w:szCs w:val="32"/>
          <w:highlight w:val="none"/>
        </w:rPr>
        <w:t>申报科技创新服务机构</w:t>
      </w:r>
      <w:r>
        <w:rPr>
          <w:rFonts w:hint="eastAsia" w:eastAsia="仿宋"/>
          <w:sz w:val="32"/>
          <w:szCs w:val="32"/>
          <w:highlight w:val="none"/>
        </w:rPr>
        <w:t>资助</w:t>
      </w:r>
      <w:r>
        <w:rPr>
          <w:rFonts w:eastAsia="仿宋"/>
          <w:sz w:val="32"/>
          <w:szCs w:val="32"/>
          <w:highlight w:val="none"/>
        </w:rPr>
        <w:t>的单位应当同时符合下列条件：</w:t>
      </w:r>
    </w:p>
    <w:p>
      <w:pPr>
        <w:keepNext w:val="0"/>
        <w:keepLines w:val="0"/>
        <w:pageBreakBefore w:val="0"/>
        <w:kinsoku/>
        <w:wordWrap/>
        <w:overflowPunct/>
        <w:topLinePunct w:val="0"/>
        <w:autoSpaceDN/>
        <w:bidi w:val="0"/>
        <w:adjustRightInd/>
        <w:snapToGrid/>
        <w:spacing w:line="560" w:lineRule="exact"/>
        <w:ind w:firstLine="643" w:firstLineChars="200"/>
        <w:textAlignment w:val="auto"/>
        <w:rPr>
          <w:rFonts w:eastAsia="仿宋"/>
          <w:sz w:val="32"/>
          <w:szCs w:val="32"/>
          <w:highlight w:val="none"/>
        </w:rPr>
      </w:pPr>
      <w:r>
        <w:rPr>
          <w:rFonts w:eastAsia="楷体"/>
          <w:b/>
          <w:bCs/>
          <w:sz w:val="32"/>
          <w:szCs w:val="32"/>
          <w:highlight w:val="none"/>
          <w:lang w:bidi="ar"/>
        </w:rPr>
        <w:t>（一）</w:t>
      </w:r>
      <w:r>
        <w:rPr>
          <w:rFonts w:eastAsia="仿宋"/>
          <w:sz w:val="32"/>
          <w:szCs w:val="32"/>
          <w:highlight w:val="none"/>
        </w:rPr>
        <w:t>必须</w:t>
      </w:r>
      <w:r>
        <w:rPr>
          <w:rFonts w:hint="eastAsia" w:eastAsia="仿宋"/>
          <w:sz w:val="32"/>
          <w:szCs w:val="32"/>
          <w:highlight w:val="none"/>
        </w:rPr>
        <w:t>是</w:t>
      </w:r>
      <w:r>
        <w:rPr>
          <w:rFonts w:eastAsia="仿宋"/>
          <w:sz w:val="32"/>
          <w:szCs w:val="32"/>
          <w:highlight w:val="none"/>
        </w:rPr>
        <w:t>在佛山高新区范围内依法设立并具有独立法人资格</w:t>
      </w:r>
      <w:r>
        <w:rPr>
          <w:rFonts w:hint="eastAsia" w:eastAsia="仿宋"/>
          <w:sz w:val="32"/>
          <w:szCs w:val="32"/>
          <w:highlight w:val="none"/>
        </w:rPr>
        <w:t>或</w:t>
      </w:r>
      <w:r>
        <w:rPr>
          <w:rFonts w:eastAsia="仿宋"/>
          <w:sz w:val="32"/>
          <w:szCs w:val="32"/>
          <w:highlight w:val="none"/>
        </w:rPr>
        <w:t>纳入火炬统计</w:t>
      </w:r>
      <w:r>
        <w:rPr>
          <w:rFonts w:hint="eastAsia" w:eastAsia="仿宋"/>
          <w:sz w:val="32"/>
          <w:szCs w:val="32"/>
          <w:highlight w:val="none"/>
        </w:rPr>
        <w:t>的</w:t>
      </w:r>
      <w:r>
        <w:rPr>
          <w:rFonts w:eastAsia="仿宋"/>
          <w:sz w:val="32"/>
          <w:szCs w:val="32"/>
          <w:highlight w:val="none"/>
        </w:rPr>
        <w:t>单位，信用记录良好。</w:t>
      </w:r>
    </w:p>
    <w:p>
      <w:pPr>
        <w:keepNext w:val="0"/>
        <w:keepLines w:val="0"/>
        <w:pageBreakBefore w:val="0"/>
        <w:kinsoku/>
        <w:wordWrap/>
        <w:overflowPunct/>
        <w:topLinePunct w:val="0"/>
        <w:autoSpaceDN/>
        <w:bidi w:val="0"/>
        <w:adjustRightInd/>
        <w:snapToGrid/>
        <w:spacing w:line="560" w:lineRule="exact"/>
        <w:ind w:firstLine="643" w:firstLineChars="200"/>
        <w:textAlignment w:val="auto"/>
        <w:rPr>
          <w:rFonts w:eastAsia="仿宋"/>
          <w:sz w:val="32"/>
          <w:highlight w:val="none"/>
          <w:shd w:val="clear" w:color="auto" w:fill="FFFFFF"/>
        </w:rPr>
      </w:pPr>
      <w:r>
        <w:rPr>
          <w:rFonts w:eastAsia="楷体"/>
          <w:b/>
          <w:bCs/>
          <w:sz w:val="32"/>
          <w:szCs w:val="32"/>
          <w:highlight w:val="none"/>
          <w:lang w:bidi="ar"/>
        </w:rPr>
        <w:t>（二）</w:t>
      </w:r>
      <w:r>
        <w:rPr>
          <w:rFonts w:eastAsia="仿宋"/>
          <w:sz w:val="32"/>
          <w:highlight w:val="none"/>
          <w:shd w:val="clear" w:color="auto" w:fill="FFFFFF"/>
        </w:rPr>
        <w:t>近三年内未发生重大安全事故、重大环境污染事故、无偷税漏税等违法违规情形。</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eastAsia="仿宋"/>
          <w:sz w:val="32"/>
          <w:szCs w:val="32"/>
          <w:highlight w:val="none"/>
        </w:rPr>
      </w:pPr>
      <w:r>
        <w:rPr>
          <w:rFonts w:eastAsia="仿宋"/>
          <w:sz w:val="32"/>
          <w:szCs w:val="32"/>
          <w:highlight w:val="none"/>
        </w:rPr>
        <w:t>同时还应满足以下条件之一：</w:t>
      </w:r>
    </w:p>
    <w:p>
      <w:pPr>
        <w:keepNext w:val="0"/>
        <w:keepLines w:val="0"/>
        <w:pageBreakBefore w:val="0"/>
        <w:kinsoku/>
        <w:wordWrap/>
        <w:overflowPunct/>
        <w:topLinePunct w:val="0"/>
        <w:autoSpaceDN/>
        <w:bidi w:val="0"/>
        <w:adjustRightInd/>
        <w:snapToGrid/>
        <w:spacing w:line="560" w:lineRule="exact"/>
        <w:ind w:firstLine="643" w:firstLineChars="200"/>
        <w:textAlignment w:val="auto"/>
        <w:rPr>
          <w:rFonts w:eastAsia="仿宋"/>
          <w:sz w:val="32"/>
          <w:highlight w:val="none"/>
          <w:shd w:val="clear" w:color="auto" w:fill="FFFFFF"/>
        </w:rPr>
      </w:pPr>
      <w:r>
        <w:rPr>
          <w:rFonts w:eastAsia="楷体"/>
          <w:b/>
          <w:bCs/>
          <w:sz w:val="32"/>
          <w:szCs w:val="32"/>
          <w:highlight w:val="none"/>
          <w:lang w:bidi="ar"/>
        </w:rPr>
        <w:t>（一）</w:t>
      </w:r>
      <w:r>
        <w:rPr>
          <w:rFonts w:ascii="仿宋" w:hAnsi="仿宋" w:eastAsia="仿宋"/>
          <w:sz w:val="32"/>
          <w:highlight w:val="none"/>
          <w:shd w:val="clear" w:color="auto" w:fill="FFFFFF"/>
        </w:rPr>
        <w:t>2020年1月1日后认定的A、B类科</w:t>
      </w:r>
      <w:r>
        <w:rPr>
          <w:rFonts w:eastAsia="仿宋"/>
          <w:sz w:val="32"/>
          <w:highlight w:val="none"/>
          <w:shd w:val="clear" w:color="auto" w:fill="FFFFFF"/>
        </w:rPr>
        <w:t>技创新服务机构。</w:t>
      </w:r>
    </w:p>
    <w:p>
      <w:pPr>
        <w:keepNext w:val="0"/>
        <w:keepLines w:val="0"/>
        <w:pageBreakBefore w:val="0"/>
        <w:kinsoku/>
        <w:wordWrap/>
        <w:overflowPunct/>
        <w:topLinePunct w:val="0"/>
        <w:autoSpaceDN/>
        <w:bidi w:val="0"/>
        <w:adjustRightInd/>
        <w:snapToGrid/>
        <w:spacing w:line="560" w:lineRule="exact"/>
        <w:ind w:firstLine="643" w:firstLineChars="200"/>
        <w:textAlignment w:val="auto"/>
        <w:rPr>
          <w:rFonts w:eastAsia="仿宋"/>
          <w:sz w:val="32"/>
          <w:highlight w:val="none"/>
          <w:shd w:val="clear" w:color="auto" w:fill="FFFFFF"/>
        </w:rPr>
      </w:pPr>
      <w:r>
        <w:rPr>
          <w:rFonts w:eastAsia="楷体"/>
          <w:b/>
          <w:bCs/>
          <w:sz w:val="32"/>
          <w:szCs w:val="32"/>
          <w:highlight w:val="none"/>
          <w:lang w:bidi="ar"/>
        </w:rPr>
        <w:t>（二）</w:t>
      </w:r>
      <w:r>
        <w:rPr>
          <w:rFonts w:ascii="仿宋" w:hAnsi="仿宋" w:eastAsia="仿宋"/>
          <w:sz w:val="32"/>
          <w:highlight w:val="none"/>
          <w:shd w:val="clear" w:color="auto" w:fill="FFFFFF"/>
        </w:rPr>
        <w:t>原注册地址在佛山高新区范围外，</w:t>
      </w:r>
      <w:r>
        <w:rPr>
          <w:rFonts w:hint="eastAsia" w:ascii="仿宋" w:hAnsi="仿宋" w:eastAsia="仿宋"/>
          <w:sz w:val="32"/>
          <w:highlight w:val="none"/>
          <w:shd w:val="clear" w:color="auto" w:fill="FFFFFF"/>
        </w:rPr>
        <w:t>2020年1月1日后整体搬迁并正式落户佛山高新区的A、B类</w:t>
      </w:r>
      <w:r>
        <w:rPr>
          <w:rFonts w:ascii="仿宋" w:hAnsi="仿宋" w:eastAsia="仿宋"/>
          <w:sz w:val="32"/>
          <w:highlight w:val="none"/>
          <w:shd w:val="clear" w:color="auto" w:fill="FFFFFF"/>
        </w:rPr>
        <w:t>科技创新服务机构。</w:t>
      </w:r>
    </w:p>
    <w:p>
      <w:pPr>
        <w:keepNext w:val="0"/>
        <w:keepLines w:val="0"/>
        <w:pageBreakBefore w:val="0"/>
        <w:kinsoku/>
        <w:wordWrap/>
        <w:overflowPunct/>
        <w:topLinePunct w:val="0"/>
        <w:autoSpaceDN/>
        <w:bidi w:val="0"/>
        <w:adjustRightInd/>
        <w:snapToGrid/>
        <w:spacing w:line="560" w:lineRule="exact"/>
        <w:ind w:firstLine="643" w:firstLineChars="200"/>
        <w:textAlignment w:val="auto"/>
        <w:rPr>
          <w:rFonts w:eastAsia="仿宋"/>
          <w:sz w:val="32"/>
          <w:highlight w:val="none"/>
          <w:shd w:val="clear" w:color="auto" w:fill="FFFFFF"/>
        </w:rPr>
      </w:pPr>
      <w:r>
        <w:rPr>
          <w:rFonts w:eastAsia="楷体"/>
          <w:b/>
          <w:bCs/>
          <w:sz w:val="32"/>
          <w:szCs w:val="32"/>
          <w:highlight w:val="none"/>
          <w:lang w:bidi="ar"/>
        </w:rPr>
        <w:t>（三）</w:t>
      </w:r>
      <w:r>
        <w:rPr>
          <w:rFonts w:hint="eastAsia" w:ascii="仿宋" w:hAnsi="仿宋" w:eastAsia="仿宋"/>
          <w:sz w:val="32"/>
          <w:highlight w:val="none"/>
          <w:shd w:val="clear" w:color="auto" w:fill="FFFFFF"/>
        </w:rPr>
        <w:t>2020年1月1日后新引进的C类科技创新服务机构</w:t>
      </w:r>
      <w:r>
        <w:rPr>
          <w:rFonts w:ascii="仿宋" w:hAnsi="仿宋" w:eastAsia="仿宋"/>
          <w:sz w:val="32"/>
          <w:highlight w:val="none"/>
          <w:shd w:val="clear" w:color="auto" w:fill="FFFFFF"/>
        </w:rPr>
        <w:t>。</w:t>
      </w:r>
    </w:p>
    <w:p>
      <w:pPr>
        <w:keepNext w:val="0"/>
        <w:keepLines w:val="0"/>
        <w:pageBreakBefore w:val="0"/>
        <w:kinsoku/>
        <w:wordWrap/>
        <w:overflowPunct/>
        <w:topLinePunct w:val="0"/>
        <w:autoSpaceDN/>
        <w:bidi w:val="0"/>
        <w:adjustRightInd/>
        <w:snapToGrid/>
        <w:spacing w:line="560" w:lineRule="exact"/>
        <w:ind w:firstLine="643" w:firstLineChars="200"/>
        <w:textAlignment w:val="auto"/>
        <w:rPr>
          <w:rFonts w:ascii="仿宋" w:hAnsi="仿宋" w:eastAsia="仿宋"/>
          <w:sz w:val="32"/>
          <w:highlight w:val="none"/>
        </w:rPr>
      </w:pPr>
      <w:r>
        <w:rPr>
          <w:rFonts w:eastAsia="楷体"/>
          <w:b/>
          <w:bCs/>
          <w:sz w:val="32"/>
          <w:szCs w:val="32"/>
          <w:highlight w:val="none"/>
          <w:lang w:bidi="ar"/>
        </w:rPr>
        <w:t>（四）</w:t>
      </w:r>
      <w:r>
        <w:rPr>
          <w:rFonts w:hint="eastAsia" w:ascii="仿宋" w:hAnsi="仿宋" w:eastAsia="仿宋"/>
          <w:sz w:val="32"/>
          <w:highlight w:val="none"/>
          <w:shd w:val="clear" w:color="auto" w:fill="FFFFFF"/>
        </w:rPr>
        <w:t>D类科技创新服务机构应当同时符合下列条件：</w:t>
      </w:r>
      <w:r>
        <w:rPr>
          <w:rFonts w:hint="eastAsia" w:ascii="仿宋" w:hAnsi="仿宋" w:eastAsia="仿宋"/>
          <w:bCs/>
          <w:sz w:val="32"/>
          <w:szCs w:val="32"/>
          <w:highlight w:val="none"/>
        </w:rPr>
        <w:t>具备从事相关服务的资质或能力；有固定的经营服务场所和必要的服务设施、仪器设备等，持续运营满一年；</w:t>
      </w:r>
      <w:r>
        <w:rPr>
          <w:rFonts w:hint="eastAsia" w:ascii="仿宋" w:hAnsi="仿宋" w:eastAsia="仿宋"/>
          <w:sz w:val="32"/>
          <w:highlight w:val="none"/>
        </w:rPr>
        <w:t>上一年度服务绩效分别</w:t>
      </w:r>
      <w:r>
        <w:rPr>
          <w:rFonts w:hint="eastAsia" w:ascii="仿宋" w:hAnsi="仿宋" w:eastAsia="仿宋"/>
          <w:bCs/>
          <w:sz w:val="32"/>
          <w:szCs w:val="32"/>
          <w:highlight w:val="none"/>
        </w:rPr>
        <w:t>达到</w:t>
      </w:r>
      <w:r>
        <w:rPr>
          <w:rFonts w:hint="eastAsia" w:ascii="仿宋" w:hAnsi="仿宋" w:eastAsia="仿宋"/>
          <w:sz w:val="32"/>
          <w:highlight w:val="none"/>
        </w:rPr>
        <w:t>：技术转移服务类机构服务佛山高新区企业不少于10家；检验检测服务类机构提供服务数量不少于500次，且服务佛山高新区企业数量不少于100家；知识产权服务类机构提供服务数量不少于2000次，且服务佛山高新区企业数量不少于300家。上述绩效核算以双方实际服务合同为准。</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eastAsia="仿宋_GB2312"/>
          <w:sz w:val="32"/>
          <w:highlight w:val="none"/>
          <w:shd w:val="clear" w:color="auto" w:fill="FFFFFF"/>
        </w:rPr>
      </w:pPr>
    </w:p>
    <w:p>
      <w:pPr>
        <w:keepNext w:val="0"/>
        <w:keepLines w:val="0"/>
        <w:pageBreakBefore w:val="0"/>
        <w:kinsoku/>
        <w:wordWrap/>
        <w:overflowPunct/>
        <w:topLinePunct w:val="0"/>
        <w:autoSpaceDN/>
        <w:bidi w:val="0"/>
        <w:adjustRightInd/>
        <w:snapToGrid/>
        <w:spacing w:line="560" w:lineRule="exact"/>
        <w:jc w:val="center"/>
        <w:textAlignment w:val="auto"/>
        <w:rPr>
          <w:rFonts w:eastAsia="黑体"/>
          <w:sz w:val="32"/>
          <w:szCs w:val="32"/>
          <w:highlight w:val="none"/>
        </w:rPr>
      </w:pPr>
      <w:r>
        <w:rPr>
          <w:rFonts w:eastAsia="黑体"/>
          <w:sz w:val="32"/>
          <w:szCs w:val="32"/>
          <w:highlight w:val="none"/>
        </w:rPr>
        <w:t>第四章 申报程序及资助政策</w:t>
      </w:r>
    </w:p>
    <w:p>
      <w:pPr>
        <w:keepNext w:val="0"/>
        <w:keepLines w:val="0"/>
        <w:pageBreakBefore w:val="0"/>
        <w:kinsoku/>
        <w:wordWrap/>
        <w:overflowPunct/>
        <w:topLinePunct w:val="0"/>
        <w:autoSpaceDN/>
        <w:bidi w:val="0"/>
        <w:adjustRightInd/>
        <w:snapToGrid/>
        <w:spacing w:line="560" w:lineRule="exact"/>
        <w:jc w:val="center"/>
        <w:textAlignment w:val="auto"/>
        <w:rPr>
          <w:rFonts w:eastAsia="黑体"/>
          <w:sz w:val="32"/>
          <w:szCs w:val="32"/>
          <w:highlight w:val="none"/>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eastAsia="仿宋"/>
          <w:sz w:val="32"/>
          <w:szCs w:val="32"/>
          <w:highlight w:val="none"/>
        </w:rPr>
      </w:pPr>
      <w:r>
        <w:rPr>
          <w:rFonts w:eastAsia="黑体"/>
          <w:bCs/>
          <w:sz w:val="32"/>
          <w:szCs w:val="32"/>
          <w:highlight w:val="none"/>
          <w:lang w:bidi="ar"/>
        </w:rPr>
        <w:t>第八条</w:t>
      </w:r>
      <w:r>
        <w:rPr>
          <w:rFonts w:eastAsia="仿宋"/>
          <w:sz w:val="32"/>
          <w:szCs w:val="32"/>
          <w:highlight w:val="none"/>
          <w:lang w:bidi="ar"/>
        </w:rPr>
        <w:t xml:space="preserve"> </w:t>
      </w:r>
      <w:r>
        <w:rPr>
          <w:rFonts w:ascii="仿宋" w:hAnsi="仿宋" w:eastAsia="仿宋"/>
          <w:sz w:val="32"/>
          <w:szCs w:val="32"/>
          <w:highlight w:val="none"/>
          <w:lang w:bidi="ar"/>
        </w:rPr>
        <w:t>佛山高新区管委会按照“申报、评审、审议、公示、公布”流程，开展科技创新服务机构申报工作。</w:t>
      </w:r>
    </w:p>
    <w:p>
      <w:pPr>
        <w:keepNext w:val="0"/>
        <w:keepLines w:val="0"/>
        <w:pageBreakBefore w:val="0"/>
        <w:kinsoku/>
        <w:wordWrap/>
        <w:overflowPunct/>
        <w:topLinePunct w:val="0"/>
        <w:autoSpaceDE w:val="0"/>
        <w:autoSpaceDN/>
        <w:bidi w:val="0"/>
        <w:adjustRightInd/>
        <w:snapToGrid/>
        <w:spacing w:line="560" w:lineRule="exact"/>
        <w:ind w:firstLine="643" w:firstLineChars="200"/>
        <w:textAlignment w:val="auto"/>
        <w:rPr>
          <w:rFonts w:eastAsia="楷体"/>
          <w:b/>
          <w:bCs/>
          <w:sz w:val="32"/>
          <w:szCs w:val="32"/>
          <w:highlight w:val="none"/>
        </w:rPr>
      </w:pPr>
      <w:r>
        <w:rPr>
          <w:rFonts w:eastAsia="楷体"/>
          <w:b/>
          <w:bCs/>
          <w:sz w:val="32"/>
          <w:szCs w:val="32"/>
          <w:highlight w:val="none"/>
          <w:lang w:bidi="ar"/>
        </w:rPr>
        <w:t>（一）申报</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ascii="仿宋" w:hAnsi="仿宋" w:eastAsia="仿宋"/>
          <w:sz w:val="32"/>
          <w:szCs w:val="32"/>
          <w:highlight w:val="none"/>
          <w:lang w:bidi="ar"/>
        </w:rPr>
      </w:pPr>
      <w:r>
        <w:rPr>
          <w:rFonts w:ascii="仿宋" w:hAnsi="仿宋" w:eastAsia="仿宋"/>
          <w:sz w:val="32"/>
          <w:szCs w:val="32"/>
          <w:highlight w:val="none"/>
          <w:lang w:bidi="ar"/>
        </w:rPr>
        <w:t>1.</w:t>
      </w:r>
      <w:r>
        <w:rPr>
          <w:rFonts w:hint="eastAsia" w:eastAsia="仿宋"/>
          <w:sz w:val="32"/>
          <w:szCs w:val="32"/>
          <w:highlight w:val="none"/>
        </w:rPr>
        <w:t>科技创新</w:t>
      </w:r>
      <w:r>
        <w:rPr>
          <w:rFonts w:eastAsia="仿宋"/>
          <w:sz w:val="32"/>
          <w:szCs w:val="32"/>
          <w:highlight w:val="none"/>
        </w:rPr>
        <w:t>局</w:t>
      </w:r>
      <w:r>
        <w:rPr>
          <w:rFonts w:ascii="仿宋" w:hAnsi="仿宋" w:eastAsia="仿宋"/>
          <w:sz w:val="32"/>
          <w:szCs w:val="32"/>
          <w:highlight w:val="none"/>
          <w:lang w:bidi="ar"/>
        </w:rPr>
        <w:t>在“佛山扶持通”发布当年度申报指南和通知，明确项目支持对象、组织形式、申报要求、申报时间、申报流程、材料要求等内容。</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ascii="仿宋" w:hAnsi="仿宋" w:eastAsia="仿宋"/>
          <w:sz w:val="32"/>
          <w:szCs w:val="32"/>
          <w:highlight w:val="none"/>
          <w:lang w:bidi="ar"/>
        </w:rPr>
      </w:pPr>
      <w:r>
        <w:rPr>
          <w:rFonts w:ascii="仿宋" w:hAnsi="仿宋" w:eastAsia="仿宋"/>
          <w:sz w:val="32"/>
          <w:szCs w:val="32"/>
          <w:highlight w:val="none"/>
          <w:lang w:bidi="ar"/>
        </w:rPr>
        <w:t>2.申报单位</w:t>
      </w:r>
      <w:bookmarkStart w:id="7" w:name="_GoBack"/>
      <w:bookmarkEnd w:id="7"/>
      <w:r>
        <w:rPr>
          <w:rFonts w:hint="eastAsia" w:ascii="仿宋" w:hAnsi="仿宋" w:eastAsia="仿宋"/>
          <w:sz w:val="32"/>
          <w:szCs w:val="32"/>
          <w:highlight w:val="none"/>
          <w:lang w:val="en-US" w:eastAsia="zh-CN" w:bidi="ar"/>
        </w:rPr>
        <w:t>登录</w:t>
      </w:r>
      <w:r>
        <w:rPr>
          <w:rFonts w:ascii="仿宋" w:hAnsi="仿宋" w:eastAsia="仿宋"/>
          <w:sz w:val="32"/>
          <w:szCs w:val="32"/>
          <w:highlight w:val="none"/>
          <w:lang w:bidi="ar"/>
        </w:rPr>
        <w:t>“佛山扶持通”，按照当年度发布的申报指南和通知要求在线填写申请表，并上传相关材料。各园管理局对申报材料进行初审。初审通过后，申报单位按要求提交纸质材料。</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ascii="仿宋" w:hAnsi="仿宋" w:eastAsia="仿宋"/>
          <w:sz w:val="32"/>
          <w:szCs w:val="32"/>
          <w:highlight w:val="none"/>
          <w:lang w:bidi="ar"/>
        </w:rPr>
      </w:pPr>
      <w:r>
        <w:rPr>
          <w:rFonts w:ascii="仿宋" w:hAnsi="仿宋" w:eastAsia="仿宋"/>
          <w:sz w:val="32"/>
          <w:szCs w:val="32"/>
          <w:highlight w:val="none"/>
          <w:lang w:bidi="ar"/>
        </w:rPr>
        <w:t>3.A、B两类科技创新服务机构的申报材料包括：（1）佛山高新区科技创新服务机构资助申请表；（2）佛山高新区项目申报单位信息表；（3）科技创新服务机构认定文件；（4）申请承诺书；（5）新搬迁并正式落户园区的科技创新服务机构，还需提交：</w:t>
      </w:r>
      <w:r>
        <w:rPr>
          <w:rFonts w:hint="eastAsia" w:ascii="仿宋" w:hAnsi="仿宋" w:eastAsia="仿宋" w:cs="宋体"/>
          <w:sz w:val="32"/>
          <w:szCs w:val="32"/>
          <w:highlight w:val="none"/>
          <w:lang w:bidi="ar"/>
        </w:rPr>
        <w:t>①</w:t>
      </w:r>
      <w:r>
        <w:rPr>
          <w:rFonts w:ascii="仿宋" w:hAnsi="仿宋" w:eastAsia="仿宋"/>
          <w:sz w:val="32"/>
          <w:szCs w:val="32"/>
          <w:highlight w:val="none"/>
          <w:lang w:bidi="ar"/>
        </w:rPr>
        <w:t>研发人员、团队、设备设施等有关材料；</w:t>
      </w:r>
      <w:r>
        <w:rPr>
          <w:rFonts w:hint="eastAsia" w:ascii="仿宋" w:hAnsi="仿宋" w:eastAsia="仿宋" w:cs="宋体"/>
          <w:sz w:val="32"/>
          <w:szCs w:val="32"/>
          <w:highlight w:val="none"/>
          <w:lang w:bidi="ar"/>
        </w:rPr>
        <w:t>②</w:t>
      </w:r>
      <w:r>
        <w:rPr>
          <w:rFonts w:ascii="仿宋" w:hAnsi="仿宋" w:eastAsia="仿宋"/>
          <w:sz w:val="32"/>
          <w:szCs w:val="32"/>
          <w:highlight w:val="none"/>
          <w:lang w:bidi="ar"/>
        </w:rPr>
        <w:t>研发办公用房的租赁或购房合同、支付凭证等相关材料；</w:t>
      </w:r>
      <w:r>
        <w:rPr>
          <w:rFonts w:hint="eastAsia" w:ascii="仿宋" w:hAnsi="仿宋" w:eastAsia="仿宋" w:cs="宋体"/>
          <w:sz w:val="32"/>
          <w:szCs w:val="32"/>
          <w:highlight w:val="none"/>
          <w:lang w:bidi="ar"/>
        </w:rPr>
        <w:t>③</w:t>
      </w:r>
      <w:r>
        <w:rPr>
          <w:rFonts w:ascii="仿宋" w:hAnsi="仿宋" w:eastAsia="仿宋"/>
          <w:sz w:val="32"/>
          <w:szCs w:val="32"/>
          <w:highlight w:val="none"/>
          <w:lang w:bidi="ar"/>
        </w:rPr>
        <w:t>购置研发试验设备凭据。</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ascii="仿宋" w:hAnsi="仿宋" w:eastAsia="仿宋"/>
          <w:sz w:val="32"/>
          <w:szCs w:val="32"/>
          <w:highlight w:val="none"/>
          <w:lang w:bidi="ar"/>
        </w:rPr>
      </w:pPr>
      <w:r>
        <w:rPr>
          <w:rFonts w:ascii="仿宋" w:hAnsi="仿宋" w:eastAsia="仿宋"/>
          <w:sz w:val="32"/>
          <w:szCs w:val="32"/>
          <w:highlight w:val="none"/>
          <w:lang w:bidi="ar"/>
        </w:rPr>
        <w:t>4.C类科技创新服务机构的申报材料包括：（1）佛山高新区科技创新服务机构资助申请表；（2）佛山高新区项目申报单位信息表；（3）引进科技创新服务机构协议；（4）建设方案及年度实施计划，包括技术、人员、团队、设备设施等基本情况及有关材料；（5）办公用房的租赁或购房合同、支付凭证等相关材料；（6）购置研发试验设备凭据；</w:t>
      </w:r>
      <w:bookmarkStart w:id="6" w:name="_Hlk57278359"/>
      <w:r>
        <w:rPr>
          <w:rFonts w:ascii="仿宋" w:hAnsi="仿宋" w:eastAsia="仿宋"/>
          <w:sz w:val="32"/>
          <w:szCs w:val="32"/>
          <w:highlight w:val="none"/>
          <w:lang w:bidi="ar"/>
        </w:rPr>
        <w:t>（7）申请承诺书</w:t>
      </w:r>
      <w:bookmarkEnd w:id="6"/>
      <w:r>
        <w:rPr>
          <w:rFonts w:ascii="仿宋" w:hAnsi="仿宋" w:eastAsia="仿宋"/>
          <w:sz w:val="32"/>
          <w:szCs w:val="32"/>
          <w:highlight w:val="none"/>
          <w:lang w:bidi="ar"/>
        </w:rPr>
        <w:t>。</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ascii="仿宋" w:hAnsi="仿宋" w:eastAsia="仿宋"/>
          <w:sz w:val="32"/>
          <w:szCs w:val="32"/>
          <w:highlight w:val="none"/>
          <w:lang w:bidi="ar"/>
        </w:rPr>
      </w:pPr>
      <w:r>
        <w:rPr>
          <w:rFonts w:ascii="仿宋" w:hAnsi="仿宋" w:eastAsia="仿宋"/>
          <w:sz w:val="32"/>
          <w:szCs w:val="32"/>
          <w:highlight w:val="none"/>
          <w:lang w:bidi="ar"/>
        </w:rPr>
        <w:t>5.D类科技创新服务机构</w:t>
      </w:r>
      <w:r>
        <w:rPr>
          <w:rFonts w:hint="eastAsia" w:ascii="仿宋" w:hAnsi="仿宋" w:eastAsia="仿宋"/>
          <w:sz w:val="32"/>
          <w:szCs w:val="32"/>
          <w:highlight w:val="none"/>
          <w:lang w:bidi="ar"/>
        </w:rPr>
        <w:t>的</w:t>
      </w:r>
      <w:r>
        <w:rPr>
          <w:rFonts w:ascii="仿宋" w:hAnsi="仿宋" w:eastAsia="仿宋"/>
          <w:sz w:val="32"/>
          <w:szCs w:val="32"/>
          <w:highlight w:val="none"/>
          <w:lang w:bidi="ar"/>
        </w:rPr>
        <w:t>申报材料包括：（1）佛山高新区科技创新服务机构资助申请表；（2）佛山高新区项目申报单位信息表；（3）科技创新服务机构运营主体独立法人资格材料；（4）固定的经营服务场所照片及场所租赁或购置合同；（5）科技创新服务机构上年度服务绩效材料，包括服务企业情况、服务数量情况及开展服务的合同等；（6）若申请国家技术转移示范机构及其分支机构补助的，需提交相关认定文件；（7）申请承诺书。</w:t>
      </w:r>
    </w:p>
    <w:p>
      <w:pPr>
        <w:keepNext w:val="0"/>
        <w:keepLines w:val="0"/>
        <w:pageBreakBefore w:val="0"/>
        <w:kinsoku/>
        <w:wordWrap/>
        <w:overflowPunct/>
        <w:topLinePunct w:val="0"/>
        <w:autoSpaceDN/>
        <w:bidi w:val="0"/>
        <w:adjustRightInd/>
        <w:snapToGrid/>
        <w:spacing w:line="560" w:lineRule="exact"/>
        <w:ind w:firstLine="643" w:firstLineChars="200"/>
        <w:textAlignment w:val="auto"/>
        <w:rPr>
          <w:rFonts w:eastAsia="楷体"/>
          <w:b/>
          <w:bCs/>
          <w:sz w:val="32"/>
          <w:szCs w:val="32"/>
          <w:highlight w:val="none"/>
          <w:lang w:bidi="ar"/>
        </w:rPr>
      </w:pPr>
      <w:r>
        <w:rPr>
          <w:rFonts w:eastAsia="楷体"/>
          <w:b/>
          <w:bCs/>
          <w:sz w:val="32"/>
          <w:szCs w:val="32"/>
          <w:highlight w:val="none"/>
          <w:lang w:bidi="ar"/>
        </w:rPr>
        <w:t>（二）评审</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 w:hAnsi="仿宋" w:eastAsia="仿宋"/>
          <w:sz w:val="32"/>
          <w:szCs w:val="32"/>
          <w:highlight w:val="none"/>
          <w:lang w:bidi="ar"/>
        </w:rPr>
      </w:pPr>
      <w:r>
        <w:rPr>
          <w:rFonts w:hint="eastAsia" w:eastAsia="仿宋"/>
          <w:sz w:val="32"/>
          <w:szCs w:val="32"/>
          <w:highlight w:val="none"/>
        </w:rPr>
        <w:t>科技创新</w:t>
      </w:r>
      <w:r>
        <w:rPr>
          <w:rFonts w:eastAsia="仿宋"/>
          <w:sz w:val="32"/>
          <w:szCs w:val="32"/>
          <w:highlight w:val="none"/>
        </w:rPr>
        <w:t>局</w:t>
      </w:r>
      <w:r>
        <w:rPr>
          <w:rFonts w:ascii="仿宋" w:hAnsi="仿宋" w:eastAsia="仿宋"/>
          <w:sz w:val="32"/>
          <w:szCs w:val="32"/>
          <w:highlight w:val="none"/>
          <w:lang w:bidi="ar"/>
        </w:rPr>
        <w:t>委托第三方服务机构进行项目评审，经书面评审后，重点对新搬迁落户的A、B类机构和C类机构开展现场考察，形成佛山高新区科技创新服务机构支持名单。</w:t>
      </w:r>
    </w:p>
    <w:p>
      <w:pPr>
        <w:keepNext w:val="0"/>
        <w:keepLines w:val="0"/>
        <w:pageBreakBefore w:val="0"/>
        <w:kinsoku/>
        <w:wordWrap/>
        <w:overflowPunct/>
        <w:topLinePunct w:val="0"/>
        <w:autoSpaceDE w:val="0"/>
        <w:autoSpaceDN/>
        <w:bidi w:val="0"/>
        <w:adjustRightInd/>
        <w:snapToGrid/>
        <w:spacing w:line="560" w:lineRule="exact"/>
        <w:ind w:firstLine="643" w:firstLineChars="200"/>
        <w:textAlignment w:val="auto"/>
        <w:rPr>
          <w:rFonts w:eastAsia="楷体"/>
          <w:b/>
          <w:bCs/>
          <w:sz w:val="32"/>
          <w:szCs w:val="32"/>
          <w:highlight w:val="none"/>
        </w:rPr>
      </w:pPr>
      <w:r>
        <w:rPr>
          <w:rFonts w:eastAsia="楷体"/>
          <w:b/>
          <w:bCs/>
          <w:sz w:val="32"/>
          <w:szCs w:val="32"/>
          <w:highlight w:val="none"/>
          <w:lang w:bidi="ar"/>
        </w:rPr>
        <w:t>（三）审议</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eastAsia="仿宋"/>
          <w:sz w:val="32"/>
          <w:szCs w:val="32"/>
          <w:highlight w:val="none"/>
        </w:rPr>
      </w:pPr>
      <w:r>
        <w:rPr>
          <w:rFonts w:hint="eastAsia" w:eastAsia="仿宋"/>
          <w:sz w:val="32"/>
          <w:szCs w:val="32"/>
          <w:highlight w:val="none"/>
        </w:rPr>
        <w:t>支持</w:t>
      </w:r>
      <w:r>
        <w:rPr>
          <w:rFonts w:eastAsia="仿宋"/>
          <w:sz w:val="32"/>
          <w:szCs w:val="32"/>
          <w:highlight w:val="none"/>
        </w:rPr>
        <w:t>名单经佛山高新区管委会主任办公会议讨论研究后，形成拟资助名单。</w:t>
      </w:r>
    </w:p>
    <w:p>
      <w:pPr>
        <w:keepNext w:val="0"/>
        <w:keepLines w:val="0"/>
        <w:pageBreakBefore w:val="0"/>
        <w:kinsoku/>
        <w:wordWrap/>
        <w:overflowPunct/>
        <w:topLinePunct w:val="0"/>
        <w:autoSpaceDE w:val="0"/>
        <w:autoSpaceDN/>
        <w:bidi w:val="0"/>
        <w:adjustRightInd/>
        <w:snapToGrid/>
        <w:spacing w:line="560" w:lineRule="exact"/>
        <w:ind w:firstLine="643" w:firstLineChars="200"/>
        <w:textAlignment w:val="auto"/>
        <w:rPr>
          <w:rFonts w:eastAsia="楷体"/>
          <w:b/>
          <w:bCs/>
          <w:sz w:val="32"/>
          <w:szCs w:val="32"/>
          <w:highlight w:val="none"/>
        </w:rPr>
      </w:pPr>
      <w:r>
        <w:rPr>
          <w:rFonts w:eastAsia="楷体"/>
          <w:b/>
          <w:bCs/>
          <w:sz w:val="32"/>
          <w:szCs w:val="32"/>
          <w:highlight w:val="none"/>
          <w:lang w:bidi="ar"/>
        </w:rPr>
        <w:t>（四）公示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 w:hAnsi="仿宋" w:eastAsia="仿宋"/>
          <w:sz w:val="32"/>
          <w:szCs w:val="32"/>
          <w:highlight w:val="none"/>
          <w:lang w:bidi="ar"/>
        </w:rPr>
      </w:pPr>
      <w:r>
        <w:rPr>
          <w:rFonts w:hint="eastAsia" w:eastAsia="仿宋"/>
          <w:sz w:val="32"/>
          <w:szCs w:val="32"/>
          <w:highlight w:val="none"/>
        </w:rPr>
        <w:t>科技创新</w:t>
      </w:r>
      <w:r>
        <w:rPr>
          <w:rFonts w:eastAsia="仿宋"/>
          <w:sz w:val="32"/>
          <w:szCs w:val="32"/>
          <w:highlight w:val="none"/>
        </w:rPr>
        <w:t>局</w:t>
      </w:r>
      <w:r>
        <w:rPr>
          <w:rFonts w:ascii="仿宋" w:hAnsi="仿宋" w:eastAsia="仿宋"/>
          <w:sz w:val="32"/>
          <w:szCs w:val="32"/>
          <w:highlight w:val="none"/>
        </w:rPr>
        <w:t>将拟资助名单在“佛山扶持通”进行公示，公示期为不低于5个工作日。公示期内接到相关异议的，由各园管理局配合</w:t>
      </w:r>
      <w:r>
        <w:rPr>
          <w:rFonts w:hint="eastAsia" w:ascii="仿宋" w:hAnsi="仿宋" w:eastAsia="仿宋"/>
          <w:sz w:val="32"/>
          <w:szCs w:val="32"/>
          <w:highlight w:val="none"/>
        </w:rPr>
        <w:t>科技创新</w:t>
      </w:r>
      <w:r>
        <w:rPr>
          <w:rFonts w:ascii="仿宋" w:hAnsi="仿宋" w:eastAsia="仿宋"/>
          <w:sz w:val="32"/>
          <w:szCs w:val="32"/>
          <w:highlight w:val="none"/>
        </w:rPr>
        <w:t>局调查核实并提出处理意见，处理意见报佛山高新区管委会主任办公会议审议。</w:t>
      </w:r>
    </w:p>
    <w:p>
      <w:pPr>
        <w:keepNext w:val="0"/>
        <w:keepLines w:val="0"/>
        <w:pageBreakBefore w:val="0"/>
        <w:kinsoku/>
        <w:wordWrap/>
        <w:overflowPunct/>
        <w:topLinePunct w:val="0"/>
        <w:autoSpaceDE w:val="0"/>
        <w:autoSpaceDN/>
        <w:bidi w:val="0"/>
        <w:adjustRightInd/>
        <w:snapToGrid/>
        <w:spacing w:line="560" w:lineRule="exact"/>
        <w:ind w:firstLine="643" w:firstLineChars="200"/>
        <w:textAlignment w:val="auto"/>
        <w:rPr>
          <w:rFonts w:eastAsia="楷体"/>
          <w:b/>
          <w:bCs/>
          <w:sz w:val="32"/>
          <w:szCs w:val="32"/>
          <w:highlight w:val="none"/>
        </w:rPr>
      </w:pPr>
      <w:r>
        <w:rPr>
          <w:rFonts w:eastAsia="楷体"/>
          <w:b/>
          <w:bCs/>
          <w:sz w:val="32"/>
          <w:szCs w:val="32"/>
          <w:highlight w:val="none"/>
          <w:lang w:bidi="ar"/>
        </w:rPr>
        <w:t>（五）公布</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eastAsia="仿宋"/>
          <w:sz w:val="32"/>
          <w:szCs w:val="32"/>
          <w:highlight w:val="none"/>
        </w:rPr>
      </w:pPr>
      <w:r>
        <w:rPr>
          <w:rFonts w:eastAsia="仿宋"/>
          <w:sz w:val="32"/>
          <w:szCs w:val="32"/>
          <w:highlight w:val="none"/>
        </w:rPr>
        <w:t>公示无异议或异议不成立的，资助名单在“佛山扶持通”对外公开发布。</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eastAsia="仿宋_GB2312"/>
          <w:bCs/>
          <w:sz w:val="32"/>
          <w:szCs w:val="32"/>
          <w:highlight w:val="none"/>
        </w:rPr>
      </w:pPr>
      <w:r>
        <w:rPr>
          <w:rFonts w:eastAsia="黑体"/>
          <w:bCs/>
          <w:sz w:val="32"/>
          <w:szCs w:val="32"/>
          <w:highlight w:val="none"/>
        </w:rPr>
        <w:t>第九条</w:t>
      </w:r>
      <w:r>
        <w:rPr>
          <w:rFonts w:eastAsia="仿宋_GB2312"/>
          <w:bCs/>
          <w:sz w:val="32"/>
          <w:szCs w:val="32"/>
          <w:highlight w:val="none"/>
        </w:rPr>
        <w:t xml:space="preserve"> </w:t>
      </w:r>
      <w:r>
        <w:rPr>
          <w:rFonts w:eastAsia="仿宋"/>
          <w:sz w:val="32"/>
          <w:szCs w:val="32"/>
          <w:highlight w:val="none"/>
        </w:rPr>
        <w:t>对符合条件的科技创新服务机构给予资助及配套支持。</w:t>
      </w:r>
    </w:p>
    <w:p>
      <w:pPr>
        <w:keepNext w:val="0"/>
        <w:keepLines w:val="0"/>
        <w:pageBreakBefore w:val="0"/>
        <w:kinsoku/>
        <w:wordWrap/>
        <w:overflowPunct/>
        <w:topLinePunct w:val="0"/>
        <w:autoSpaceDN/>
        <w:bidi w:val="0"/>
        <w:adjustRightInd/>
        <w:snapToGrid/>
        <w:spacing w:line="560" w:lineRule="exact"/>
        <w:ind w:firstLine="643" w:firstLineChars="200"/>
        <w:textAlignment w:val="auto"/>
        <w:rPr>
          <w:rFonts w:ascii="仿宋" w:hAnsi="仿宋" w:eastAsia="仿宋"/>
          <w:bCs/>
          <w:sz w:val="32"/>
          <w:szCs w:val="32"/>
          <w:highlight w:val="none"/>
        </w:rPr>
      </w:pPr>
      <w:r>
        <w:rPr>
          <w:rFonts w:eastAsia="楷体"/>
          <w:b/>
          <w:bCs/>
          <w:sz w:val="32"/>
          <w:szCs w:val="32"/>
          <w:highlight w:val="none"/>
          <w:lang w:bidi="ar"/>
        </w:rPr>
        <w:t>（一）</w:t>
      </w:r>
      <w:r>
        <w:rPr>
          <w:rFonts w:ascii="仿宋" w:hAnsi="仿宋" w:eastAsia="仿宋"/>
          <w:bCs/>
          <w:sz w:val="32"/>
          <w:szCs w:val="32"/>
          <w:highlight w:val="none"/>
        </w:rPr>
        <w:t>A类科技创新服务机构给予100万元一次性后补助、B类科技创新服务机构给予50万元一次性后补助。对已获得本政策扶持B类科技创新服务机构升级为A类科技创新服务机构的，可再申请50万元一次性补助。已获省市区同类补助的</w:t>
      </w:r>
      <w:r>
        <w:rPr>
          <w:rFonts w:hint="eastAsia" w:ascii="仿宋" w:hAnsi="仿宋" w:eastAsia="仿宋"/>
          <w:bCs/>
          <w:sz w:val="32"/>
          <w:szCs w:val="32"/>
          <w:highlight w:val="none"/>
        </w:rPr>
        <w:t>均</w:t>
      </w:r>
      <w:r>
        <w:rPr>
          <w:rFonts w:ascii="仿宋" w:hAnsi="仿宋" w:eastAsia="仿宋"/>
          <w:bCs/>
          <w:sz w:val="32"/>
          <w:szCs w:val="32"/>
          <w:highlight w:val="none"/>
        </w:rPr>
        <w:t>不受限制。</w:t>
      </w:r>
    </w:p>
    <w:p>
      <w:pPr>
        <w:keepNext w:val="0"/>
        <w:keepLines w:val="0"/>
        <w:pageBreakBefore w:val="0"/>
        <w:kinsoku/>
        <w:wordWrap/>
        <w:overflowPunct/>
        <w:topLinePunct w:val="0"/>
        <w:autoSpaceDN/>
        <w:bidi w:val="0"/>
        <w:adjustRightInd/>
        <w:snapToGrid/>
        <w:spacing w:line="560" w:lineRule="exact"/>
        <w:ind w:firstLine="643" w:firstLineChars="200"/>
        <w:textAlignment w:val="auto"/>
        <w:rPr>
          <w:rFonts w:eastAsia="仿宋_GB2312"/>
          <w:bCs/>
          <w:sz w:val="32"/>
          <w:szCs w:val="32"/>
          <w:highlight w:val="none"/>
        </w:rPr>
      </w:pPr>
      <w:r>
        <w:rPr>
          <w:rFonts w:eastAsia="楷体"/>
          <w:b/>
          <w:bCs/>
          <w:sz w:val="32"/>
          <w:szCs w:val="32"/>
          <w:highlight w:val="none"/>
          <w:lang w:bidi="ar"/>
        </w:rPr>
        <w:t>（二）</w:t>
      </w:r>
      <w:r>
        <w:rPr>
          <w:rFonts w:ascii="仿宋" w:hAnsi="仿宋" w:eastAsia="仿宋"/>
          <w:bCs/>
          <w:sz w:val="32"/>
          <w:szCs w:val="32"/>
          <w:highlight w:val="none"/>
        </w:rPr>
        <w:t>对于C类科技创新服务机构，按照其申报上年度实际购置研发试验设备投入总额30%给予一次性资助，资助不超过100万元。对影响力大的科技创新服务机构采取“一事一议”方式给予资助。</w:t>
      </w:r>
    </w:p>
    <w:p>
      <w:pPr>
        <w:keepNext w:val="0"/>
        <w:keepLines w:val="0"/>
        <w:pageBreakBefore w:val="0"/>
        <w:kinsoku/>
        <w:wordWrap/>
        <w:overflowPunct/>
        <w:topLinePunct w:val="0"/>
        <w:autoSpaceDN/>
        <w:bidi w:val="0"/>
        <w:adjustRightInd/>
        <w:snapToGrid/>
        <w:spacing w:line="560" w:lineRule="exact"/>
        <w:ind w:firstLine="643" w:firstLineChars="200"/>
        <w:textAlignment w:val="auto"/>
        <w:rPr>
          <w:rFonts w:eastAsia="仿宋_GB2312"/>
          <w:bCs/>
          <w:sz w:val="32"/>
          <w:szCs w:val="32"/>
          <w:highlight w:val="none"/>
        </w:rPr>
      </w:pPr>
      <w:r>
        <w:rPr>
          <w:rFonts w:eastAsia="楷体"/>
          <w:b/>
          <w:bCs/>
          <w:sz w:val="32"/>
          <w:szCs w:val="32"/>
          <w:highlight w:val="none"/>
          <w:lang w:bidi="ar"/>
        </w:rPr>
        <w:t>（三）</w:t>
      </w:r>
      <w:r>
        <w:rPr>
          <w:rFonts w:ascii="仿宋" w:hAnsi="仿宋" w:eastAsia="仿宋"/>
          <w:bCs/>
          <w:sz w:val="32"/>
          <w:szCs w:val="32"/>
          <w:highlight w:val="none"/>
        </w:rPr>
        <w:t>对于D类科技创新服务机构，对技术转移、</w:t>
      </w:r>
      <w:r>
        <w:rPr>
          <w:rFonts w:ascii="仿宋" w:hAnsi="仿宋" w:eastAsia="仿宋"/>
          <w:sz w:val="32"/>
          <w:highlight w:val="none"/>
        </w:rPr>
        <w:t>检验检测、知识产权等科技创新服务机构，按其房屋购置或租赁费、运营管理费、人员经费等实际发生费用的20%给予一次性后补助，补助额度最高不超过100万元。</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eastAsia="仿宋"/>
          <w:sz w:val="32"/>
          <w:szCs w:val="32"/>
          <w:highlight w:val="none"/>
          <w:lang w:bidi="ar"/>
        </w:rPr>
      </w:pPr>
      <w:r>
        <w:rPr>
          <w:rFonts w:eastAsia="黑体"/>
          <w:sz w:val="32"/>
          <w:szCs w:val="32"/>
          <w:highlight w:val="none"/>
        </w:rPr>
        <w:t xml:space="preserve">第十条 </w:t>
      </w:r>
      <w:r>
        <w:rPr>
          <w:rFonts w:eastAsia="仿宋"/>
          <w:sz w:val="32"/>
          <w:szCs w:val="32"/>
          <w:highlight w:val="none"/>
          <w:lang w:bidi="ar"/>
        </w:rPr>
        <w:t>鼓励各园管理局根据实际给予配套支持。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eastAsia="仿宋"/>
          <w:sz w:val="32"/>
          <w:szCs w:val="32"/>
          <w:highlight w:val="none"/>
          <w:lang w:bidi="ar"/>
        </w:rPr>
      </w:pPr>
    </w:p>
    <w:p>
      <w:pPr>
        <w:keepNext w:val="0"/>
        <w:keepLines w:val="0"/>
        <w:pageBreakBefore w:val="0"/>
        <w:kinsoku/>
        <w:wordWrap/>
        <w:overflowPunct/>
        <w:topLinePunct w:val="0"/>
        <w:autoSpaceDN/>
        <w:bidi w:val="0"/>
        <w:adjustRightInd/>
        <w:snapToGrid/>
        <w:spacing w:line="560" w:lineRule="exact"/>
        <w:jc w:val="center"/>
        <w:textAlignment w:val="auto"/>
        <w:rPr>
          <w:rFonts w:eastAsia="黑体"/>
          <w:sz w:val="32"/>
          <w:szCs w:val="32"/>
          <w:highlight w:val="none"/>
        </w:rPr>
      </w:pPr>
      <w:r>
        <w:rPr>
          <w:rFonts w:eastAsia="黑体"/>
          <w:sz w:val="32"/>
          <w:szCs w:val="32"/>
          <w:highlight w:val="none"/>
        </w:rPr>
        <w:t>第五章 资金拨付及管理</w:t>
      </w:r>
    </w:p>
    <w:p>
      <w:pPr>
        <w:keepNext w:val="0"/>
        <w:keepLines w:val="0"/>
        <w:pageBreakBefore w:val="0"/>
        <w:kinsoku/>
        <w:wordWrap/>
        <w:overflowPunct/>
        <w:topLinePunct w:val="0"/>
        <w:autoSpaceDN/>
        <w:bidi w:val="0"/>
        <w:adjustRightInd/>
        <w:snapToGrid/>
        <w:spacing w:line="560" w:lineRule="exact"/>
        <w:jc w:val="center"/>
        <w:textAlignment w:val="auto"/>
        <w:rPr>
          <w:rFonts w:eastAsia="黑体"/>
          <w:sz w:val="32"/>
          <w:szCs w:val="32"/>
          <w:highlight w:val="none"/>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eastAsia="仿宋_GB2312"/>
          <w:sz w:val="32"/>
          <w:szCs w:val="32"/>
          <w:highlight w:val="none"/>
          <w:lang w:bidi="ar"/>
        </w:rPr>
      </w:pPr>
      <w:r>
        <w:rPr>
          <w:rFonts w:eastAsia="黑体"/>
          <w:sz w:val="32"/>
          <w:szCs w:val="32"/>
          <w:highlight w:val="none"/>
        </w:rPr>
        <w:t xml:space="preserve">第十一条 </w:t>
      </w:r>
      <w:r>
        <w:rPr>
          <w:rFonts w:eastAsia="仿宋"/>
          <w:sz w:val="32"/>
          <w:szCs w:val="32"/>
          <w:highlight w:val="none"/>
          <w:lang w:bidi="ar"/>
        </w:rPr>
        <w:t>科技创新服务机构资助名单公示后，按照</w:t>
      </w:r>
      <w:r>
        <w:rPr>
          <w:rFonts w:hint="eastAsia" w:eastAsia="仿宋"/>
          <w:sz w:val="32"/>
          <w:szCs w:val="32"/>
          <w:highlight w:val="none"/>
          <w:lang w:bidi="ar"/>
        </w:rPr>
        <w:t>《佛山高新技术产业开发区财政专项经费支出管理办法》</w:t>
      </w:r>
      <w:r>
        <w:rPr>
          <w:rFonts w:eastAsia="仿宋"/>
          <w:sz w:val="32"/>
          <w:szCs w:val="32"/>
          <w:highlight w:val="none"/>
          <w:lang w:bidi="ar"/>
        </w:rPr>
        <w:t>规定审批程序，做好资金支出审批。</w:t>
      </w:r>
      <w:r>
        <w:rPr>
          <w:rFonts w:hint="eastAsia" w:eastAsia="仿宋"/>
          <w:sz w:val="32"/>
          <w:szCs w:val="32"/>
          <w:highlight w:val="none"/>
        </w:rPr>
        <w:t>科技创新</w:t>
      </w:r>
      <w:r>
        <w:rPr>
          <w:rFonts w:eastAsia="仿宋"/>
          <w:sz w:val="32"/>
          <w:szCs w:val="32"/>
          <w:highlight w:val="none"/>
        </w:rPr>
        <w:t>局</w:t>
      </w:r>
      <w:r>
        <w:rPr>
          <w:rFonts w:eastAsia="仿宋"/>
          <w:sz w:val="32"/>
          <w:szCs w:val="32"/>
          <w:highlight w:val="none"/>
          <w:lang w:bidi="ar"/>
        </w:rPr>
        <w:t>根据各园管理局项目申报情况，申请划拨对应项目资助资金给各园管理局，各园管理局划拨资助资金及配套支持资金（如有）至项目承担单位。</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eastAsia="仿宋"/>
          <w:sz w:val="32"/>
          <w:szCs w:val="32"/>
          <w:highlight w:val="none"/>
        </w:rPr>
      </w:pPr>
      <w:r>
        <w:rPr>
          <w:rFonts w:eastAsia="黑体"/>
          <w:sz w:val="32"/>
          <w:szCs w:val="32"/>
          <w:highlight w:val="none"/>
        </w:rPr>
        <w:t xml:space="preserve">第十二条 </w:t>
      </w:r>
      <w:r>
        <w:rPr>
          <w:rFonts w:eastAsia="仿宋"/>
          <w:sz w:val="32"/>
          <w:szCs w:val="32"/>
          <w:highlight w:val="none"/>
          <w:lang w:bidi="ar"/>
        </w:rPr>
        <w:t>科技创新服务机构申报及资助实行信息公开管理，除涉及保密要求等特殊情况不予公开之外，按照</w:t>
      </w:r>
      <w:r>
        <w:rPr>
          <w:rFonts w:hint="eastAsia" w:eastAsia="仿宋"/>
          <w:sz w:val="32"/>
          <w:szCs w:val="32"/>
          <w:highlight w:val="none"/>
          <w:lang w:bidi="ar"/>
        </w:rPr>
        <w:t>《佛山高新技术产业开发区经济发展专项资金管理办法》</w:t>
      </w:r>
      <w:r>
        <w:rPr>
          <w:rFonts w:eastAsia="仿宋"/>
          <w:sz w:val="32"/>
          <w:szCs w:val="32"/>
          <w:highlight w:val="none"/>
          <w:lang w:bidi="ar"/>
        </w:rPr>
        <w:t>的相关规定在“佛山扶持通”进行公开，主动接受社会监督。</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eastAsia="仿宋_GB2312"/>
          <w:sz w:val="32"/>
          <w:szCs w:val="32"/>
          <w:highlight w:val="none"/>
          <w:lang w:bidi="ar"/>
        </w:rPr>
      </w:pPr>
      <w:r>
        <w:rPr>
          <w:rFonts w:eastAsia="黑体"/>
          <w:sz w:val="32"/>
          <w:szCs w:val="32"/>
          <w:highlight w:val="none"/>
        </w:rPr>
        <w:t xml:space="preserve">第十三条 </w:t>
      </w:r>
      <w:r>
        <w:rPr>
          <w:rFonts w:eastAsia="仿宋"/>
          <w:sz w:val="32"/>
          <w:szCs w:val="32"/>
          <w:highlight w:val="none"/>
          <w:lang w:bidi="ar"/>
        </w:rPr>
        <w:t>预算年度终了或预算执行完毕，由</w:t>
      </w:r>
      <w:r>
        <w:rPr>
          <w:rFonts w:hint="eastAsia" w:eastAsia="仿宋"/>
          <w:sz w:val="32"/>
          <w:szCs w:val="32"/>
          <w:highlight w:val="none"/>
        </w:rPr>
        <w:t>科技创新</w:t>
      </w:r>
      <w:r>
        <w:rPr>
          <w:rFonts w:eastAsia="仿宋"/>
          <w:sz w:val="32"/>
          <w:szCs w:val="32"/>
          <w:highlight w:val="none"/>
        </w:rPr>
        <w:t>局</w:t>
      </w:r>
      <w:r>
        <w:rPr>
          <w:rFonts w:eastAsia="仿宋"/>
          <w:sz w:val="32"/>
          <w:szCs w:val="32"/>
          <w:highlight w:val="none"/>
          <w:lang w:bidi="ar"/>
        </w:rPr>
        <w:t>对当年度科技创新服务机构扶持资金的绩效指标完成情况和预算执行情况进行评价，形成自评报告报</w:t>
      </w:r>
      <w:r>
        <w:rPr>
          <w:rFonts w:hint="eastAsia" w:eastAsia="仿宋"/>
          <w:sz w:val="32"/>
          <w:szCs w:val="32"/>
          <w:highlight w:val="none"/>
        </w:rPr>
        <w:t>规划和</w:t>
      </w:r>
      <w:r>
        <w:rPr>
          <w:rFonts w:eastAsia="仿宋"/>
          <w:sz w:val="32"/>
          <w:szCs w:val="32"/>
          <w:highlight w:val="none"/>
        </w:rPr>
        <w:t>财政局</w:t>
      </w:r>
      <w:r>
        <w:rPr>
          <w:rFonts w:eastAsia="仿宋"/>
          <w:sz w:val="32"/>
          <w:szCs w:val="32"/>
          <w:highlight w:val="none"/>
          <w:lang w:bidi="ar"/>
        </w:rPr>
        <w:t>备案。绩效评价具体工作参照</w:t>
      </w:r>
      <w:r>
        <w:rPr>
          <w:rFonts w:hint="eastAsia" w:eastAsia="仿宋"/>
          <w:sz w:val="32"/>
          <w:szCs w:val="32"/>
          <w:highlight w:val="none"/>
          <w:lang w:bidi="ar"/>
        </w:rPr>
        <w:t>《佛山高新技术产业开发区经济发展专项资金管理办法》</w:t>
      </w:r>
      <w:r>
        <w:rPr>
          <w:rFonts w:eastAsia="仿宋"/>
          <w:sz w:val="32"/>
          <w:szCs w:val="32"/>
          <w:highlight w:val="none"/>
          <w:lang w:bidi="ar"/>
        </w:rPr>
        <w:t>的相关规定开展。</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 w:hAnsi="仿宋" w:eastAsia="仿宋"/>
          <w:sz w:val="32"/>
          <w:szCs w:val="32"/>
          <w:highlight w:val="none"/>
          <w:lang w:bidi="ar"/>
        </w:rPr>
      </w:pPr>
      <w:r>
        <w:rPr>
          <w:rFonts w:eastAsia="黑体"/>
          <w:sz w:val="32"/>
          <w:szCs w:val="32"/>
          <w:highlight w:val="none"/>
        </w:rPr>
        <w:t xml:space="preserve">第十四条 </w:t>
      </w:r>
      <w:r>
        <w:rPr>
          <w:rFonts w:ascii="仿宋" w:hAnsi="仿宋" w:eastAsia="仿宋"/>
          <w:sz w:val="32"/>
          <w:szCs w:val="32"/>
          <w:highlight w:val="none"/>
          <w:lang w:bidi="ar"/>
        </w:rPr>
        <w:t>佛山高新区管委会计提专项资金总额1％的前期工作经费（用于下一年度预算项目入库的前期论证、立项、入库评审等）及1％的事中事后工作经费（用于本年度及以前年度项目验收考评、监督检查、内部审计、绩效管理等）。有其他文件专门就工作经费作出规定的按规定执行。</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 w:hAnsi="仿宋" w:eastAsia="仿宋"/>
          <w:sz w:val="32"/>
          <w:szCs w:val="32"/>
          <w:highlight w:val="none"/>
          <w:lang w:bidi="ar"/>
        </w:rPr>
      </w:pPr>
    </w:p>
    <w:p>
      <w:pPr>
        <w:keepNext w:val="0"/>
        <w:keepLines w:val="0"/>
        <w:pageBreakBefore w:val="0"/>
        <w:kinsoku/>
        <w:wordWrap/>
        <w:overflowPunct/>
        <w:topLinePunct w:val="0"/>
        <w:autoSpaceDN/>
        <w:bidi w:val="0"/>
        <w:adjustRightInd/>
        <w:snapToGrid/>
        <w:spacing w:line="560" w:lineRule="exact"/>
        <w:jc w:val="center"/>
        <w:textAlignment w:val="auto"/>
        <w:rPr>
          <w:rFonts w:eastAsia="黑体"/>
          <w:sz w:val="32"/>
          <w:szCs w:val="32"/>
          <w:highlight w:val="none"/>
        </w:rPr>
      </w:pPr>
      <w:r>
        <w:rPr>
          <w:rFonts w:eastAsia="黑体"/>
          <w:sz w:val="32"/>
          <w:szCs w:val="32"/>
          <w:highlight w:val="none"/>
        </w:rPr>
        <w:t>第六章 责任追究</w:t>
      </w:r>
    </w:p>
    <w:p>
      <w:pPr>
        <w:keepNext w:val="0"/>
        <w:keepLines w:val="0"/>
        <w:pageBreakBefore w:val="0"/>
        <w:kinsoku/>
        <w:wordWrap/>
        <w:overflowPunct/>
        <w:topLinePunct w:val="0"/>
        <w:autoSpaceDN/>
        <w:bidi w:val="0"/>
        <w:adjustRightInd/>
        <w:snapToGrid/>
        <w:spacing w:line="560" w:lineRule="exact"/>
        <w:jc w:val="center"/>
        <w:textAlignment w:val="auto"/>
        <w:rPr>
          <w:rFonts w:eastAsia="黑体"/>
          <w:sz w:val="32"/>
          <w:szCs w:val="32"/>
          <w:highlight w:val="none"/>
        </w:rPr>
      </w:pP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eastAsia="仿宋_GB2312"/>
          <w:sz w:val="32"/>
          <w:szCs w:val="32"/>
          <w:highlight w:val="none"/>
        </w:rPr>
      </w:pPr>
      <w:r>
        <w:rPr>
          <w:rFonts w:eastAsia="黑体"/>
          <w:sz w:val="32"/>
          <w:szCs w:val="32"/>
          <w:highlight w:val="none"/>
        </w:rPr>
        <w:t>第十五条</w:t>
      </w:r>
      <w:r>
        <w:rPr>
          <w:rFonts w:eastAsia="仿宋_GB2312"/>
          <w:sz w:val="32"/>
          <w:szCs w:val="32"/>
          <w:highlight w:val="none"/>
        </w:rPr>
        <w:t xml:space="preserve"> </w:t>
      </w:r>
      <w:r>
        <w:rPr>
          <w:rFonts w:eastAsia="仿宋"/>
          <w:sz w:val="32"/>
          <w:szCs w:val="32"/>
          <w:highlight w:val="none"/>
        </w:rPr>
        <w:t>对负责专项资金管理的佛山高新区管委会分管领导、部门领导、经办人员在专项资金评审、分配、审批过程中存在违纪违法行为的，按照“谁审批、谁负责”的原则，视情节轻重承担相应责任。构成犯罪的，依法移送司法机关。</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eastAsia="仿宋_GB2312"/>
          <w:sz w:val="32"/>
          <w:szCs w:val="32"/>
          <w:highlight w:val="none"/>
        </w:rPr>
      </w:pPr>
      <w:r>
        <w:rPr>
          <w:rFonts w:eastAsia="黑体"/>
          <w:sz w:val="32"/>
          <w:szCs w:val="32"/>
          <w:highlight w:val="none"/>
        </w:rPr>
        <w:t xml:space="preserve">第十六条 </w:t>
      </w:r>
      <w:r>
        <w:rPr>
          <w:rFonts w:ascii="仿宋" w:hAnsi="仿宋" w:eastAsia="仿宋"/>
          <w:sz w:val="32"/>
          <w:szCs w:val="32"/>
          <w:highlight w:val="none"/>
        </w:rPr>
        <w:t>项目承担单位在财政资金申报、管理、使用过程中存在违法违规行为的，依法依规作出严肃处理，追回专项资金，5年内停止其申报专项资金资格，并向社会公开其违法违规信息。</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eastAsia="仿宋_GB2312"/>
          <w:sz w:val="32"/>
          <w:szCs w:val="32"/>
          <w:highlight w:val="none"/>
        </w:rPr>
      </w:pPr>
      <w:r>
        <w:rPr>
          <w:rFonts w:eastAsia="黑体"/>
          <w:sz w:val="32"/>
          <w:szCs w:val="32"/>
          <w:highlight w:val="none"/>
        </w:rPr>
        <w:t xml:space="preserve">第十七条 </w:t>
      </w:r>
      <w:r>
        <w:rPr>
          <w:rFonts w:eastAsia="仿宋"/>
          <w:sz w:val="32"/>
          <w:szCs w:val="32"/>
          <w:highlight w:val="none"/>
        </w:rPr>
        <w:t>第三方服务机构按照</w:t>
      </w:r>
      <w:r>
        <w:rPr>
          <w:rFonts w:hint="eastAsia" w:eastAsia="仿宋"/>
          <w:sz w:val="32"/>
          <w:szCs w:val="32"/>
          <w:highlight w:val="none"/>
        </w:rPr>
        <w:t>科技创新</w:t>
      </w:r>
      <w:r>
        <w:rPr>
          <w:rFonts w:eastAsia="仿宋"/>
          <w:sz w:val="32"/>
          <w:szCs w:val="32"/>
          <w:highlight w:val="none"/>
        </w:rPr>
        <w:t>局委托事项要求开展具体事务性工作。对第三方服务机构在提供服务过程中存在违法违规行为的，应立即终止合作协议，取消其提供服务资格。</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eastAsia="仿宋"/>
          <w:sz w:val="32"/>
          <w:szCs w:val="32"/>
          <w:highlight w:val="none"/>
        </w:rPr>
      </w:pPr>
    </w:p>
    <w:p>
      <w:pPr>
        <w:keepNext w:val="0"/>
        <w:keepLines w:val="0"/>
        <w:pageBreakBefore w:val="0"/>
        <w:kinsoku/>
        <w:wordWrap/>
        <w:overflowPunct/>
        <w:topLinePunct w:val="0"/>
        <w:autoSpaceDN/>
        <w:bidi w:val="0"/>
        <w:adjustRightInd/>
        <w:snapToGrid/>
        <w:spacing w:line="560" w:lineRule="exact"/>
        <w:jc w:val="center"/>
        <w:textAlignment w:val="auto"/>
        <w:rPr>
          <w:rFonts w:eastAsia="黑体"/>
          <w:sz w:val="32"/>
          <w:szCs w:val="32"/>
          <w:highlight w:val="none"/>
        </w:rPr>
      </w:pPr>
      <w:r>
        <w:rPr>
          <w:rFonts w:eastAsia="黑体"/>
          <w:sz w:val="32"/>
          <w:szCs w:val="32"/>
          <w:highlight w:val="none"/>
        </w:rPr>
        <w:t>第七章 附 则</w:t>
      </w:r>
    </w:p>
    <w:p>
      <w:pPr>
        <w:keepNext w:val="0"/>
        <w:keepLines w:val="0"/>
        <w:pageBreakBefore w:val="0"/>
        <w:kinsoku/>
        <w:wordWrap/>
        <w:overflowPunct/>
        <w:topLinePunct w:val="0"/>
        <w:autoSpaceDN/>
        <w:bidi w:val="0"/>
        <w:adjustRightInd/>
        <w:snapToGrid/>
        <w:spacing w:line="560" w:lineRule="exact"/>
        <w:jc w:val="center"/>
        <w:textAlignment w:val="auto"/>
        <w:rPr>
          <w:rFonts w:eastAsia="黑体"/>
          <w:sz w:val="32"/>
          <w:szCs w:val="32"/>
          <w:highlight w:val="none"/>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eastAsia="仿宋"/>
          <w:sz w:val="32"/>
          <w:szCs w:val="32"/>
          <w:highlight w:val="none"/>
        </w:rPr>
      </w:pPr>
      <w:r>
        <w:rPr>
          <w:rFonts w:eastAsia="黑体"/>
          <w:sz w:val="32"/>
          <w:szCs w:val="32"/>
          <w:highlight w:val="none"/>
        </w:rPr>
        <w:t xml:space="preserve">第十八条 </w:t>
      </w:r>
      <w:r>
        <w:rPr>
          <w:rFonts w:eastAsia="仿宋"/>
          <w:sz w:val="32"/>
          <w:szCs w:val="32"/>
          <w:highlight w:val="none"/>
        </w:rPr>
        <w:t>本细则由佛山高新区管委会负责解释。</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eastAsia="仿宋_GB2312"/>
          <w:sz w:val="32"/>
          <w:szCs w:val="32"/>
          <w:highlight w:val="none"/>
        </w:rPr>
      </w:pPr>
      <w:r>
        <w:rPr>
          <w:rFonts w:eastAsia="黑体"/>
          <w:sz w:val="32"/>
          <w:szCs w:val="32"/>
          <w:highlight w:val="none"/>
        </w:rPr>
        <w:t xml:space="preserve">第十九条 </w:t>
      </w:r>
      <w:r>
        <w:rPr>
          <w:rFonts w:eastAsia="仿宋"/>
          <w:sz w:val="32"/>
          <w:szCs w:val="32"/>
          <w:highlight w:val="none"/>
        </w:rPr>
        <w:t>除政策明确规定额外奖补情况外，对符合本细则同时又符合佛山市其他扶持政策规定的同类事项，按照“从高不重复”原则给予支持。</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eastAsia="仿宋_GB2312"/>
          <w:sz w:val="32"/>
          <w:szCs w:val="32"/>
          <w:highlight w:val="none"/>
        </w:rPr>
      </w:pPr>
      <w:r>
        <w:rPr>
          <w:rFonts w:eastAsia="黑体"/>
          <w:sz w:val="32"/>
          <w:szCs w:val="32"/>
          <w:highlight w:val="none"/>
        </w:rPr>
        <w:t>第二十条</w:t>
      </w:r>
      <w:r>
        <w:rPr>
          <w:rFonts w:eastAsia="仿宋"/>
          <w:b/>
          <w:bCs/>
          <w:sz w:val="32"/>
          <w:szCs w:val="32"/>
          <w:highlight w:val="none"/>
        </w:rPr>
        <w:t xml:space="preserve"> </w:t>
      </w:r>
      <w:r>
        <w:rPr>
          <w:rFonts w:ascii="仿宋" w:hAnsi="仿宋" w:eastAsia="仿宋"/>
          <w:sz w:val="32"/>
          <w:szCs w:val="32"/>
          <w:highlight w:val="none"/>
        </w:rPr>
        <w:t>本细则自印发之日起实施，有效期3年。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 w:hAnsi="仿宋" w:eastAsia="仿宋" w:cs="仿宋"/>
          <w:sz w:val="32"/>
          <w:szCs w:val="32"/>
          <w:highlight w:val="none"/>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 w:hAnsi="仿宋" w:eastAsia="仿宋" w:cs="仿宋"/>
          <w:sz w:val="32"/>
          <w:szCs w:val="32"/>
          <w:highlight w:val="none"/>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 w:hAnsi="仿宋" w:eastAsia="仿宋" w:cs="仿宋"/>
          <w:sz w:val="32"/>
          <w:szCs w:val="32"/>
          <w:highlight w:val="none"/>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 w:hAnsi="仿宋" w:eastAsia="仿宋" w:cs="仿宋"/>
          <w:sz w:val="32"/>
          <w:szCs w:val="32"/>
          <w:highlight w:val="none"/>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 w:hAnsi="仿宋" w:eastAsia="仿宋" w:cs="仿宋"/>
          <w:sz w:val="32"/>
          <w:szCs w:val="32"/>
          <w:highlight w:val="none"/>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 w:hAnsi="仿宋" w:eastAsia="仿宋" w:cs="仿宋"/>
          <w:sz w:val="32"/>
          <w:szCs w:val="32"/>
          <w:highlight w:val="none"/>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 w:hAnsi="仿宋" w:eastAsia="仿宋" w:cs="仿宋"/>
          <w:sz w:val="32"/>
          <w:szCs w:val="32"/>
          <w:highlight w:val="none"/>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 w:hAnsi="仿宋" w:eastAsia="仿宋" w:cs="仿宋"/>
          <w:sz w:val="32"/>
          <w:szCs w:val="32"/>
          <w:highlight w:val="none"/>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 w:hAnsi="仿宋" w:eastAsia="仿宋" w:cs="仿宋"/>
          <w:sz w:val="32"/>
          <w:szCs w:val="32"/>
          <w:highlight w:val="none"/>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 w:hAnsi="仿宋" w:eastAsia="仿宋" w:cs="仿宋"/>
          <w:sz w:val="32"/>
          <w:szCs w:val="32"/>
          <w:highlight w:val="none"/>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 w:hAnsi="仿宋" w:eastAsia="仿宋" w:cs="仿宋"/>
          <w:sz w:val="32"/>
          <w:szCs w:val="32"/>
          <w:highlight w:val="none"/>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 w:hAnsi="仿宋" w:eastAsia="仿宋" w:cs="仿宋"/>
          <w:sz w:val="32"/>
          <w:szCs w:val="32"/>
          <w:highlight w:val="none"/>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 w:hAnsi="仿宋" w:eastAsia="仿宋" w:cs="仿宋"/>
          <w:sz w:val="32"/>
          <w:szCs w:val="32"/>
          <w:highlight w:val="none"/>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 w:hAnsi="仿宋" w:eastAsia="仿宋" w:cs="仿宋"/>
          <w:sz w:val="32"/>
          <w:szCs w:val="32"/>
          <w:highlight w:val="none"/>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 w:hAnsi="仿宋" w:eastAsia="仿宋" w:cs="仿宋"/>
          <w:sz w:val="32"/>
          <w:szCs w:val="32"/>
          <w:highlight w:val="none"/>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 w:hAnsi="仿宋" w:eastAsia="仿宋" w:cs="仿宋"/>
          <w:sz w:val="32"/>
          <w:szCs w:val="32"/>
          <w:highlight w:val="none"/>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 w:hAnsi="仿宋" w:eastAsia="仿宋" w:cs="仿宋"/>
          <w:sz w:val="32"/>
          <w:szCs w:val="32"/>
          <w:highlight w:val="none"/>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 w:hAnsi="仿宋" w:eastAsia="仿宋" w:cs="仿宋"/>
          <w:sz w:val="32"/>
          <w:szCs w:val="32"/>
          <w:highlight w:val="none"/>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 w:hAnsi="仿宋" w:eastAsia="仿宋" w:cs="仿宋"/>
          <w:sz w:val="32"/>
          <w:szCs w:val="32"/>
          <w:highlight w:val="none"/>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 w:hAnsi="仿宋" w:eastAsia="仿宋" w:cs="仿宋"/>
          <w:sz w:val="32"/>
          <w:szCs w:val="32"/>
          <w:highlight w:val="none"/>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 w:hAnsi="仿宋" w:eastAsia="仿宋" w:cs="仿宋"/>
          <w:sz w:val="32"/>
          <w:szCs w:val="32"/>
          <w:highlight w:val="none"/>
        </w:rPr>
      </w:pPr>
    </w:p>
    <w:p>
      <w:pPr>
        <w:pStyle w:val="2"/>
        <w:rPr>
          <w:rFonts w:ascii="仿宋" w:hAnsi="仿宋" w:eastAsia="仿宋" w:cs="仿宋"/>
          <w:sz w:val="32"/>
          <w:szCs w:val="32"/>
          <w:highlight w:val="none"/>
        </w:rPr>
      </w:pPr>
    </w:p>
    <w:p>
      <w:pPr>
        <w:pStyle w:val="2"/>
        <w:rPr>
          <w:rFonts w:ascii="仿宋" w:hAnsi="仿宋" w:eastAsia="仿宋" w:cs="仿宋"/>
          <w:sz w:val="32"/>
          <w:szCs w:val="32"/>
          <w:highlight w:val="none"/>
        </w:rPr>
      </w:pPr>
    </w:p>
    <w:p>
      <w:pPr>
        <w:pStyle w:val="2"/>
        <w:rPr>
          <w:rFonts w:ascii="仿宋" w:hAnsi="仿宋" w:eastAsia="仿宋" w:cs="仿宋"/>
          <w:sz w:val="32"/>
          <w:szCs w:val="32"/>
          <w:highlight w:val="none"/>
        </w:rPr>
      </w:pPr>
    </w:p>
    <w:p>
      <w:pPr>
        <w:pStyle w:val="2"/>
        <w:rPr>
          <w:rFonts w:ascii="仿宋" w:hAnsi="仿宋" w:eastAsia="仿宋" w:cs="仿宋"/>
          <w:sz w:val="32"/>
          <w:szCs w:val="32"/>
          <w:highlight w:val="none"/>
        </w:rPr>
      </w:pPr>
    </w:p>
    <w:p>
      <w:pPr>
        <w:pStyle w:val="2"/>
        <w:rPr>
          <w:rFonts w:ascii="仿宋" w:hAnsi="仿宋" w:eastAsia="仿宋" w:cs="仿宋"/>
          <w:sz w:val="32"/>
          <w:szCs w:val="32"/>
          <w:highlight w:val="none"/>
        </w:rPr>
      </w:pPr>
    </w:p>
    <w:p>
      <w:pPr>
        <w:pStyle w:val="2"/>
        <w:rPr>
          <w:rFonts w:ascii="仿宋" w:hAnsi="仿宋" w:eastAsia="仿宋" w:cs="仿宋"/>
          <w:sz w:val="32"/>
          <w:szCs w:val="32"/>
          <w:highlight w:val="none"/>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 w:hAnsi="仿宋" w:eastAsia="仿宋" w:cs="仿宋"/>
          <w:sz w:val="32"/>
          <w:szCs w:val="32"/>
          <w:highlight w:val="none"/>
        </w:rPr>
      </w:pPr>
    </w:p>
    <w:p>
      <w:pPr>
        <w:keepNext w:val="0"/>
        <w:keepLines w:val="0"/>
        <w:pageBreakBefore w:val="0"/>
        <w:kinsoku/>
        <w:wordWrap/>
        <w:overflowPunct/>
        <w:topLinePunct w:val="0"/>
        <w:autoSpaceDN/>
        <w:bidi w:val="0"/>
        <w:adjustRightInd/>
        <w:snapToGrid/>
        <w:spacing w:line="560" w:lineRule="exact"/>
        <w:textAlignment w:val="auto"/>
        <w:rPr>
          <w:rFonts w:ascii="仿宋" w:hAnsi="仿宋" w:eastAsia="仿宋" w:cs="仿宋"/>
          <w:sz w:val="32"/>
          <w:szCs w:val="32"/>
          <w:highlight w:val="none"/>
        </w:rPr>
      </w:pPr>
    </w:p>
    <w:p>
      <w:r>
        <w:rPr>
          <w:rFonts w:hint="eastAsia" w:ascii="仿宋" w:hAnsi="仿宋" w:eastAsia="仿宋"/>
          <w:spacing w:val="-20"/>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33020</wp:posOffset>
                </wp:positionV>
                <wp:extent cx="555942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5594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2pt;margin-top:2.6pt;height:0pt;width:437.75pt;z-index:251659264;mso-width-relative:page;mso-height-relative:page;" filled="f" stroked="t" coordsize="21600,21600" o:gfxdata="UEsDBAoAAAAAAIdO4kAAAAAAAAAAAAAAAAAEAAAAZHJzL1BLAwQUAAAACACHTuJAgnt3kdMAAAAF&#10;AQAADwAAAGRycy9kb3ducmV2LnhtbE2Oy07DMBBF90j8gzVIbCpqNzxaQiZdANmxaQGxncZDEhGP&#10;09h9wNdj2MDy6l6de4rl0fVqz2PovCDMpgYUS+1tJw3Cy3N1sQAVIoml3gsjfHKAZXl6UlBu/UFW&#10;vF/HRiWIhJwQ2hiHXOtQt+woTP3Akrp3PzqKKY6NtiMdEtz1OjPmRjvqJD20NPB9y/XHeucQQvXK&#10;2+prUk/M22XjOds+PD0S4vnZzNyBinyMf2P40U/qUCanjd+JDapHyK7SEOE6A5XaxXx+C2rzm3VZ&#10;6P/25TdQSwMEFAAAAAgAh07iQPQCISnxAQAA5gMAAA4AAABkcnMvZTJvRG9jLnhtbK1TzW4TMRC+&#10;I/EOlu9k05RFdJVNDw3lgiAS8AAT25u15D953GzyErwAEjc4ceTO27Q8BmNvGkq55MAevDP2zDfz&#10;fR7PL3fWsK2KqL1r+dlkyplywkvtNi3/+OH62UvOMIGTYLxTLd8r5JeLp0/mQ2jUzPfeSBUZgThs&#10;htDyPqXQVBWKXlnAiQ/K0WHno4VEbtxUMsJA6NZUs+n0RTX4KEP0QiHS7nI85AfEeAqg7zot1NKL&#10;G6tcGlGjMpCIEvY6IF+UbrtOifSu61AlZlpOTFNZqQjZ67xWizk0mwih1+LQApzSwiNOFrSjokeo&#10;JSRgN1H/A2W1iB59lybC22okUhQhFmfTR9q87yGowoWkxnAUHf8frHi7XUWmZcvPOXNg6cLvPv+4&#10;/fT1188vtN59/8bOs0hDwIZir9wqHjwMq5gZ77po85+4sF0Rdn8UVu0SE7RZ1/XF81nNmbg/q/4k&#10;hojptfKWZaPlRrvMGRrYvsFExSj0PiRvG8eGll/UBQ5oADu6eEK2gUig25Rc9EbLa21MzsC4WV+Z&#10;yLaQh6B8mRLh/hWWiywB+zGuHI3j0SuQr5xkaR9IHkevgucWrJKcGUWPKFsECE0CbU6JpNLG5QRV&#10;RvTAM2s8qpqttZf7InaVPbr+0vFhVPN8PfTJfvg8F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gnt3kdMAAAAFAQAADwAAAAAAAAABACAAAAAiAAAAZHJzL2Rvd25yZXYueG1sUEsBAhQAFAAAAAgA&#10;h07iQPQCISnxAQAA5gMAAA4AAAAAAAAAAQAgAAAAIgEAAGRycy9lMm9Eb2MueG1sUEsFBgAAAAAG&#10;AAYAWQEAAIUFAAAAAA==&#10;">
                <v:fill on="f" focussize="0,0"/>
                <v:stroke color="#000000" joinstyle="round"/>
                <v:imagedata o:title=""/>
                <o:lock v:ext="edit" aspectratio="f"/>
              </v:line>
            </w:pict>
          </mc:Fallback>
        </mc:AlternateContent>
      </w:r>
      <w:r>
        <w:rPr>
          <w:rFonts w:hint="eastAsia" w:ascii="仿宋_GB2312" w:eastAsia="仿宋_GB2312"/>
          <w:spacing w:val="-20"/>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378460</wp:posOffset>
                </wp:positionV>
                <wp:extent cx="555942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5594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9.8pt;height:0pt;width:437.75pt;z-index:251660288;mso-width-relative:page;mso-height-relative:page;" filled="f" stroked="t" coordsize="21600,21600" o:gfxdata="UEsDBAoAAAAAAIdO4kAAAAAAAAAAAAAAAAAEAAAAZHJzL1BLAwQUAAAACACHTuJANmRxR9QAAAAG&#10;AQAADwAAAGRycy9kb3ducmV2LnhtbE2PzU7DMBCE70i8g7VIXCpqtyilhDg9ALlxoYC4buMliYjX&#10;aez+wNOzqAc47sxo5ttidfS92tMYu8AWZlMDirgOruPGwutLdbUEFROywz4wWfiiCKvy/KzA3IUD&#10;P9N+nRolJRxztNCmNORax7olj3EaBmLxPsLoMck5NtqNeJBy3+u5MQvtsWNZaHGg+5bqz/XOW4jV&#10;G22r70k9Me/XTaD59uHpEa29vJiZO1CJjukvDL/4gg6lMG3Cjl1UvQV5JFnIbhegxF3eZBmozUnQ&#10;ZaH/45c/UEsDBBQAAAAIAIdO4kAKz+4j8AEAAOYDAAAOAAAAZHJzL2Uyb0RvYy54bWytU72OEzEQ&#10;7pF4B8s92VyUIG6VzRUXjgZBJOABJrY3a8l/8viyyUvwAkh0UFHS8zYcj8HYuxeOo0nBFt4Ze+ab&#10;+T6Pl1cHa9heRdTeNfxiMuVMOeGldruGf3h/8+wFZ5jASTDeqYYfFfKr1dMnyz7UauY7b6SKjEAc&#10;1n1oeJdSqKsKRacs4MQH5eiw9dFCIjfuKhmhJ3Rrqtl0+rzqfZQheqEQaXc9HPIRMZ4D6NtWC7X2&#10;4tYqlwbUqAwkooSdDshXpdu2VSK9bVtUiZmGE9NUVipC9jav1WoJ9S5C6LQYW4BzWnjEyYJ2VPQE&#10;tYYE7Dbqf6CsFtGjb9NEeFsNRIoixOJi+kibdx0EVbiQ1BhOouP/gxVv9pvItGz4nDMHli787tP3&#10;nx+//Prxmda7b1/ZPIvUB6wp9tpt4uhh2MTM+NBGm//EhR2KsMeTsOqQmKDNxWJxOZ8tOBP3Z9Wf&#10;xBAxvVLesmw03GiXOUMN+9eYqBiF3ofkbeNY3/DLRYEDGsCWLp6QbSAS6HYlF73R8kYbkzMw7rbX&#10;JrI95CEoX6ZEuH+F5SJrwG6IK0fDeHQK5EsnWToGksfRq+C5BaskZ0bRI8oWAUKdQJtzIqm0cTlB&#10;lREdeWaNB1WztfXyWMSuskfXXzoeRzXP10Of7IfPc/U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mRxR9QAAAAGAQAADwAAAAAAAAABACAAAAAiAAAAZHJzL2Rvd25yZXYueG1sUEsBAhQAFAAAAAgA&#10;h07iQArP7iPwAQAA5gMAAA4AAAAAAAAAAQAgAAAAIwEAAGRycy9lMm9Eb2MueG1sUEsFBgAAAAAG&#10;AAYAWQEAAIUFAAAAAA==&#10;">
                <v:fill on="f" focussize="0,0"/>
                <v:stroke color="#000000" joinstyle="round"/>
                <v:imagedata o:title=""/>
                <o:lock v:ext="edit" aspectratio="f"/>
              </v:line>
            </w:pict>
          </mc:Fallback>
        </mc:AlternateContent>
      </w:r>
      <w:r>
        <w:rPr>
          <w:rFonts w:hint="eastAsia" w:ascii="仿宋" w:hAnsi="仿宋" w:eastAsia="仿宋"/>
          <w:spacing w:val="-20"/>
          <w:sz w:val="28"/>
          <w:szCs w:val="28"/>
          <w:highlight w:val="none"/>
        </w:rPr>
        <w:t xml:space="preserve">佛山高新技术产业开发区管理委员会党政办公室        </w:t>
      </w:r>
      <w:r>
        <w:rPr>
          <w:rFonts w:hint="eastAsia" w:ascii="仿宋" w:hAnsi="仿宋" w:eastAsia="仿宋"/>
          <w:spacing w:val="-17"/>
          <w:sz w:val="28"/>
          <w:szCs w:val="28"/>
          <w:highlight w:val="none"/>
        </w:rPr>
        <w:t>2020年</w:t>
      </w:r>
      <w:r>
        <w:rPr>
          <w:rFonts w:hint="eastAsia" w:ascii="仿宋" w:hAnsi="仿宋" w:eastAsia="仿宋"/>
          <w:spacing w:val="-17"/>
          <w:sz w:val="28"/>
          <w:szCs w:val="28"/>
          <w:highlight w:val="none"/>
          <w:lang w:val="en-US" w:eastAsia="zh-CN"/>
        </w:rPr>
        <w:t>12</w:t>
      </w:r>
      <w:r>
        <w:rPr>
          <w:rFonts w:hint="eastAsia" w:ascii="仿宋" w:hAnsi="仿宋" w:eastAsia="仿宋"/>
          <w:spacing w:val="-17"/>
          <w:sz w:val="28"/>
          <w:szCs w:val="28"/>
          <w:highlight w:val="none"/>
        </w:rPr>
        <w:t>月</w:t>
      </w:r>
      <w:r>
        <w:rPr>
          <w:rFonts w:hint="eastAsia" w:ascii="仿宋" w:hAnsi="仿宋" w:eastAsia="仿宋"/>
          <w:spacing w:val="-17"/>
          <w:sz w:val="28"/>
          <w:szCs w:val="28"/>
          <w:highlight w:val="none"/>
          <w:lang w:val="en-US" w:eastAsia="zh-CN"/>
        </w:rPr>
        <w:t>7</w:t>
      </w:r>
      <w:r>
        <w:rPr>
          <w:rFonts w:hint="eastAsia" w:ascii="仿宋" w:hAnsi="仿宋" w:eastAsia="仿宋"/>
          <w:spacing w:val="-17"/>
          <w:sz w:val="28"/>
          <w:szCs w:val="28"/>
          <w:highlight w:val="none"/>
        </w:rPr>
        <w:t>日印发</w:t>
      </w:r>
      <w:r>
        <w:rPr>
          <w:rFonts w:hint="eastAsia" w:ascii="仿宋" w:hAnsi="仿宋" w:eastAsia="仿宋"/>
          <w:sz w:val="28"/>
          <w:szCs w:val="28"/>
          <w:highlight w:val="non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EDB25A5-B05A-4200-A50F-A4BCA2F8DFB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DD472F4-B6F4-4518-A979-4FD9EAA2A4D3}"/>
  </w:font>
  <w:font w:name="方正小标宋简体">
    <w:panose1 w:val="02000000000000000000"/>
    <w:charset w:val="86"/>
    <w:family w:val="auto"/>
    <w:pitch w:val="default"/>
    <w:sig w:usb0="00000001" w:usb1="08000000" w:usb2="00000000" w:usb3="00000000" w:csb0="00040000" w:csb1="00000000"/>
    <w:embedRegular r:id="rId3" w:fontKey="{DFCA2B3C-36F2-4B72-AFA0-7BB2C98E5555}"/>
  </w:font>
  <w:font w:name="仿宋_GB2312">
    <w:altName w:val="仿宋"/>
    <w:panose1 w:val="02010609030101010101"/>
    <w:charset w:val="86"/>
    <w:family w:val="modern"/>
    <w:pitch w:val="default"/>
    <w:sig w:usb0="00000000" w:usb1="00000000" w:usb2="00000000" w:usb3="00000000" w:csb0="00040000" w:csb1="00000000"/>
    <w:embedRegular r:id="rId4" w:fontKey="{73EF10BF-AEB3-4A68-BF2B-16BCAD20AF94}"/>
  </w:font>
  <w:font w:name="仿宋">
    <w:panose1 w:val="02010609060101010101"/>
    <w:charset w:val="86"/>
    <w:family w:val="modern"/>
    <w:pitch w:val="default"/>
    <w:sig w:usb0="800002BF" w:usb1="38CF7CFA" w:usb2="00000016" w:usb3="00000000" w:csb0="00040001" w:csb1="00000000"/>
    <w:embedRegular r:id="rId5" w:fontKey="{2BB4D037-8203-4CD5-9767-47DACF0793CB}"/>
  </w:font>
  <w:font w:name="楷体">
    <w:panose1 w:val="02010609060101010101"/>
    <w:charset w:val="86"/>
    <w:family w:val="modern"/>
    <w:pitch w:val="default"/>
    <w:sig w:usb0="800002BF" w:usb1="38CF7CFA" w:usb2="00000016" w:usb3="00000000" w:csb0="00040001" w:csb1="00000000"/>
    <w:embedRegular r:id="rId6" w:fontKey="{DDFDF5BB-3600-4A7D-92EA-DA28792108A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yZDRkN2RiY2MwODc3ZDkwYjk5NjMzN2JmY2M1ZTcifQ=="/>
  </w:docVars>
  <w:rsids>
    <w:rsidRoot w:val="1E7A5A28"/>
    <w:rsid w:val="1E2A52D0"/>
    <w:rsid w:val="1E7A5A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狮山镇人民政府</Company>
  <Pages>9</Pages>
  <Words>3654</Words>
  <Characters>3697</Characters>
  <Lines>0</Lines>
  <Paragraphs>0</Paragraphs>
  <TotalTime>0</TotalTime>
  <ScaleCrop>false</ScaleCrop>
  <LinksUpToDate>false</LinksUpToDate>
  <CharactersWithSpaces>3736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2020-12-08T08:18:00Z</dcterms:created>
  <dc:creator>张锦仪（总工会网管员）</dc:creator>
  <cp:lastModifiedBy>佛山教育帮客服</cp:lastModifiedBy>
  <dcterms:modified xsi:type="dcterms:W3CDTF">2024-07-06T09:53:03Z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814B07F2E54B4FCF8B87926E11C9561C_12</vt:lpwstr>
  </property>
</Properties>
</file>